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359" w:leftChars="-171" w:firstLine="282" w:firstLineChars="101"/>
        <w:jc w:val="left"/>
        <w:rPr>
          <w:rFonts w:hint="eastAsia" w:ascii="黑体" w:hAnsi="黑体" w:eastAsia="黑体"/>
          <w:bCs/>
          <w:color w:val="auto"/>
          <w:spacing w:val="-20"/>
          <w:sz w:val="32"/>
          <w:szCs w:val="32"/>
          <w:u w:val="none"/>
          <w:lang w:eastAsia="zh-CN"/>
        </w:rPr>
      </w:pPr>
      <w:r>
        <w:rPr>
          <w:rFonts w:hint="eastAsia" w:ascii="黑体" w:hAnsi="黑体" w:eastAsia="黑体"/>
          <w:bCs/>
          <w:color w:val="auto"/>
          <w:spacing w:val="-20"/>
          <w:sz w:val="32"/>
          <w:szCs w:val="32"/>
          <w:u w:val="none"/>
        </w:rPr>
        <w:t>附件</w:t>
      </w:r>
      <w:r>
        <w:rPr>
          <w:rFonts w:hint="eastAsia" w:ascii="黑体" w:hAnsi="黑体" w:eastAsia="黑体"/>
          <w:bCs/>
          <w:color w:val="auto"/>
          <w:spacing w:val="-20"/>
          <w:sz w:val="32"/>
          <w:szCs w:val="32"/>
          <w:u w:val="none"/>
          <w:lang w:val="en-US" w:eastAsia="zh-CN"/>
        </w:rPr>
        <w:t>4</w:t>
      </w:r>
    </w:p>
    <w:p>
      <w:pPr>
        <w:ind w:left="-359" w:leftChars="-171" w:firstLine="485" w:firstLineChars="101"/>
        <w:jc w:val="center"/>
        <w:rPr>
          <w:rFonts w:ascii="Arial Unicode MS" w:hAnsi="黑体" w:eastAsia="Arial Unicode MS"/>
          <w:b/>
          <w:bCs/>
          <w:color w:val="auto"/>
          <w:spacing w:val="-20"/>
          <w:sz w:val="52"/>
          <w:szCs w:val="52"/>
          <w:u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auto"/>
          <w:spacing w:val="0"/>
          <w:sz w:val="44"/>
          <w:szCs w:val="44"/>
          <w:u w:val="none"/>
        </w:rPr>
      </w:pPr>
      <w:r>
        <w:rPr>
          <w:rFonts w:hint="default" w:ascii="Times New Roman" w:hAnsi="Times New Roman" w:eastAsia="方正小标宋_GBK" w:cs="Times New Roman"/>
          <w:color w:val="auto"/>
          <w:spacing w:val="0"/>
          <w:sz w:val="44"/>
          <w:szCs w:val="44"/>
          <w:u w:val="none"/>
        </w:rPr>
        <w:t>202</w:t>
      </w:r>
      <w:r>
        <w:rPr>
          <w:rFonts w:hint="eastAsia" w:eastAsia="方正小标宋_GBK" w:cs="Times New Roman"/>
          <w:color w:val="auto"/>
          <w:spacing w:val="0"/>
          <w:sz w:val="44"/>
          <w:szCs w:val="44"/>
          <w:u w:val="none"/>
          <w:lang w:val="en-US" w:eastAsia="zh-CN"/>
        </w:rPr>
        <w:t>5</w:t>
      </w:r>
      <w:r>
        <w:rPr>
          <w:rFonts w:hint="default" w:ascii="Times New Roman" w:hAnsi="Times New Roman" w:eastAsia="方正小标宋_GBK" w:cs="Times New Roman"/>
          <w:color w:val="auto"/>
          <w:spacing w:val="0"/>
          <w:sz w:val="44"/>
          <w:szCs w:val="44"/>
          <w:u w:val="none"/>
        </w:rPr>
        <w:t>年自治区高等职业教育（专科）</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color w:val="auto"/>
          <w:spacing w:val="0"/>
          <w:sz w:val="44"/>
          <w:szCs w:val="44"/>
          <w:u w:val="none"/>
        </w:rPr>
      </w:pPr>
      <w:r>
        <w:rPr>
          <w:rFonts w:hint="default" w:ascii="Times New Roman" w:hAnsi="Times New Roman" w:eastAsia="方正小标宋_GBK" w:cs="Times New Roman"/>
          <w:color w:val="auto"/>
          <w:spacing w:val="0"/>
          <w:sz w:val="44"/>
          <w:szCs w:val="44"/>
          <w:u w:val="none"/>
        </w:rPr>
        <w:t>拟新增非国控专业申请表</w:t>
      </w:r>
    </w:p>
    <w:p>
      <w:pPr>
        <w:rPr>
          <w:color w:val="auto"/>
          <w:u w:val="none"/>
        </w:rPr>
      </w:pPr>
    </w:p>
    <w:p>
      <w:pPr>
        <w:rPr>
          <w:color w:val="auto"/>
          <w:u w:val="none"/>
        </w:rPr>
      </w:pPr>
    </w:p>
    <w:p>
      <w:pPr>
        <w:rPr>
          <w:color w:val="auto"/>
          <w:u w:val="none"/>
        </w:rPr>
      </w:pPr>
    </w:p>
    <w:p>
      <w:pPr>
        <w:rPr>
          <w:color w:val="auto"/>
          <w:u w:val="none"/>
        </w:rPr>
      </w:pPr>
    </w:p>
    <w:p>
      <w:pPr>
        <w:rPr>
          <w:color w:val="auto"/>
          <w:u w:val="none"/>
        </w:rPr>
      </w:pPr>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78"/>
        <w:gridCol w:w="43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bidi="ar"/>
              </w:rPr>
              <w:t>学校名称(盖章)：</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新疆应用职业技术学院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rPr>
              <w:t>学校主管部门：</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新疆维吾尔自治区教育厅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rPr>
            </w:pPr>
            <w:r>
              <w:rPr>
                <w:rFonts w:hint="eastAsia" w:ascii="方正楷体_GBK" w:hAnsi="方正楷体_GBK" w:eastAsia="方正楷体_GBK" w:cs="方正楷体_GBK"/>
                <w:sz w:val="32"/>
                <w:szCs w:val="32"/>
                <w:lang w:bidi="ar"/>
              </w:rPr>
              <w:t>专业名称：</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跨境电子商务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专业代码：</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530702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3178" w:type="dxa"/>
            <w:noWrap w:val="0"/>
            <w:vAlign w:val="center"/>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修业年限：</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年拟招生人数：</w:t>
            </w:r>
          </w:p>
        </w:tc>
        <w:tc>
          <w:tcPr>
            <w:tcW w:w="4376" w:type="dxa"/>
            <w:noWrap w:val="0"/>
            <w:vAlign w:val="top"/>
          </w:tcPr>
          <w:p>
            <w:pPr>
              <w:widowControl/>
              <w:overflowPunct w:val="0"/>
              <w:adjustRightInd w:val="0"/>
              <w:spacing w:line="360" w:lineRule="auto"/>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1</w:t>
            </w:r>
            <w:r>
              <w:rPr>
                <w:rFonts w:hint="eastAsia" w:ascii="方正仿宋_GBK" w:hAnsi="方正仿宋_GBK" w:eastAsia="方正仿宋_GBK" w:cs="方正仿宋_GBK"/>
                <w:sz w:val="32"/>
                <w:szCs w:val="32"/>
                <w:lang w:val="en-US" w:eastAsia="zh-CN"/>
              </w:rPr>
              <w:t>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申请时间：</w:t>
            </w:r>
          </w:p>
        </w:tc>
        <w:tc>
          <w:tcPr>
            <w:tcW w:w="4376" w:type="dxa"/>
            <w:noWrap w:val="0"/>
            <w:vAlign w:val="top"/>
          </w:tcPr>
          <w:p>
            <w:pPr>
              <w:widowControl/>
              <w:overflowPunct w:val="0"/>
              <w:adjustRightInd w:val="0"/>
              <w:spacing w:line="360" w:lineRule="auto"/>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2024年4月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专业负责人：</w:t>
            </w:r>
          </w:p>
        </w:tc>
        <w:tc>
          <w:tcPr>
            <w:tcW w:w="4376" w:type="dxa"/>
            <w:noWrap w:val="0"/>
            <w:vAlign w:val="top"/>
          </w:tcPr>
          <w:p>
            <w:pPr>
              <w:widowControl/>
              <w:overflowPunct w:val="0"/>
              <w:adjustRightInd w:val="0"/>
              <w:spacing w:line="360" w:lineRule="auto"/>
              <w:jc w:val="lef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val="en-US" w:eastAsia="zh-CN"/>
              </w:rPr>
              <w:t>肖复兴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3178" w:type="dxa"/>
            <w:noWrap w:val="0"/>
            <w:vAlign w:val="top"/>
          </w:tcPr>
          <w:p>
            <w:pPr>
              <w:spacing w:line="360" w:lineRule="auto"/>
              <w:jc w:val="distribute"/>
              <w:rPr>
                <w:rFonts w:hint="eastAsia" w:ascii="方正楷体_GBK" w:hAnsi="方正楷体_GBK" w:eastAsia="方正楷体_GBK" w:cs="方正楷体_GBK"/>
                <w:sz w:val="32"/>
                <w:szCs w:val="32"/>
                <w:lang w:bidi="ar"/>
              </w:rPr>
            </w:pPr>
            <w:r>
              <w:rPr>
                <w:rFonts w:hint="eastAsia" w:ascii="方正楷体_GBK" w:hAnsi="方正楷体_GBK" w:eastAsia="方正楷体_GBK" w:cs="方正楷体_GBK"/>
                <w:sz w:val="32"/>
                <w:szCs w:val="32"/>
                <w:lang w:bidi="ar"/>
              </w:rPr>
              <w:t>联系电话：</w:t>
            </w:r>
          </w:p>
        </w:tc>
        <w:tc>
          <w:tcPr>
            <w:tcW w:w="4376" w:type="dxa"/>
            <w:noWrap w:val="0"/>
            <w:vAlign w:val="top"/>
          </w:tcPr>
          <w:p>
            <w:pPr>
              <w:widowControl/>
              <w:overflowPunct w:val="0"/>
              <w:adjustRightInd w:val="0"/>
              <w:spacing w:line="360" w:lineRule="auto"/>
              <w:jc w:val="left"/>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15559358527</w:t>
            </w:r>
          </w:p>
        </w:tc>
      </w:tr>
    </w:tbl>
    <w:p>
      <w:pPr>
        <w:rPr>
          <w:color w:val="auto"/>
          <w:u w:val="none"/>
        </w:rPr>
      </w:pPr>
    </w:p>
    <w:p>
      <w:pPr>
        <w:jc w:val="center"/>
        <w:rPr>
          <w:rFonts w:hint="eastAsia" w:ascii="Arial" w:hAnsi="Arial" w:eastAsia="楷体_GB2312"/>
          <w:color w:val="auto"/>
          <w:sz w:val="36"/>
          <w:u w:val="none"/>
        </w:rPr>
      </w:pPr>
    </w:p>
    <w:p>
      <w:pPr>
        <w:jc w:val="center"/>
        <w:rPr>
          <w:rFonts w:ascii="Arial" w:hAnsi="Arial" w:eastAsia="楷体_GB2312"/>
          <w:color w:val="auto"/>
          <w:sz w:val="36"/>
          <w:u w:val="none"/>
        </w:rPr>
      </w:pPr>
    </w:p>
    <w:p>
      <w:pPr>
        <w:jc w:val="center"/>
        <w:rPr>
          <w:rFonts w:ascii="Arial" w:hAnsi="Arial" w:eastAsia="楷体_GB2312"/>
          <w:color w:val="auto"/>
          <w:sz w:val="36"/>
          <w:u w:val="none"/>
        </w:rPr>
      </w:pPr>
      <w:r>
        <w:rPr>
          <w:rFonts w:hint="eastAsia" w:ascii="Arial" w:hAnsi="Arial" w:eastAsia="楷体_GB2312"/>
          <w:color w:val="auto"/>
          <w:sz w:val="36"/>
          <w:u w:val="none"/>
        </w:rPr>
        <w:t>新疆维吾尔自治区教育厅制</w:t>
      </w:r>
    </w:p>
    <w:p>
      <w:pPr>
        <w:jc w:val="center"/>
        <w:rPr>
          <w:rFonts w:hint="eastAsia" w:ascii="黑体" w:hAnsi="黑体" w:eastAsia="黑体"/>
          <w:color w:val="auto"/>
          <w:sz w:val="36"/>
          <w:szCs w:val="36"/>
          <w:u w:val="none"/>
        </w:rPr>
      </w:pPr>
    </w:p>
    <w:p>
      <w:pPr>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学校基本情况表</w:t>
      </w:r>
    </w:p>
    <w:tbl>
      <w:tblPr>
        <w:tblStyle w:val="12"/>
        <w:tblW w:w="94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41"/>
        <w:gridCol w:w="2122"/>
        <w:gridCol w:w="1430"/>
        <w:gridCol w:w="1574"/>
        <w:gridCol w:w="2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学校名称</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新疆应用职业学院</w:t>
            </w:r>
          </w:p>
        </w:tc>
        <w:tc>
          <w:tcPr>
            <w:tcW w:w="1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学校地址</w:t>
            </w:r>
          </w:p>
        </w:tc>
        <w:tc>
          <w:tcPr>
            <w:tcW w:w="39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新疆奎屯市北京西路62号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邮政编码</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833200</w:t>
            </w:r>
          </w:p>
        </w:tc>
        <w:tc>
          <w:tcPr>
            <w:tcW w:w="1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学校网址</w:t>
            </w:r>
          </w:p>
        </w:tc>
        <w:tc>
          <w:tcPr>
            <w:tcW w:w="39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HTTP://WWW.xjyyedu.cn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w w:val="90"/>
                <w:sz w:val="24"/>
                <w:szCs w:val="24"/>
                <w:u w:val="none"/>
              </w:rPr>
            </w:pPr>
            <w:r>
              <w:rPr>
                <w:rFonts w:hint="eastAsia" w:ascii="方正仿宋_GBK" w:hAnsi="方正仿宋_GBK" w:eastAsia="方正仿宋_GBK" w:cs="方正仿宋_GBK"/>
                <w:color w:val="auto"/>
                <w:w w:val="90"/>
                <w:sz w:val="24"/>
                <w:szCs w:val="24"/>
                <w:u w:val="none"/>
              </w:rPr>
              <w:t>学校标识码</w:t>
            </w:r>
          </w:p>
        </w:tc>
        <w:tc>
          <w:tcPr>
            <w:tcW w:w="2122"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14417</w:t>
            </w:r>
          </w:p>
        </w:tc>
        <w:tc>
          <w:tcPr>
            <w:tcW w:w="143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办学性质</w:t>
            </w:r>
          </w:p>
        </w:tc>
        <w:tc>
          <w:tcPr>
            <w:tcW w:w="3931"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公办</w:t>
            </w:r>
            <w:r>
              <w:rPr>
                <w:rFonts w:hint="eastAsia" w:ascii="方正仿宋_GBK" w:hAnsi="方正仿宋_GBK" w:eastAsia="方正仿宋_GBK" w:cs="方正仿宋_GBK"/>
                <w:color w:val="auto"/>
                <w:sz w:val="24"/>
                <w:szCs w:val="24"/>
                <w:u w:val="none"/>
                <w:lang w:eastAsia="zh-CN"/>
              </w:rPr>
              <w:sym w:font="Wingdings 2" w:char="0052"/>
            </w:r>
            <w:r>
              <w:rPr>
                <w:rFonts w:hint="eastAsia" w:ascii="方正仿宋_GBK" w:hAnsi="方正仿宋_GBK" w:eastAsia="方正仿宋_GBK" w:cs="方正仿宋_GBK"/>
                <w:color w:val="auto"/>
                <w:sz w:val="24"/>
                <w:szCs w:val="24"/>
                <w:u w:val="none"/>
              </w:rPr>
              <w:t xml:space="preserve">   民办□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在校高职（专科）学生总数</w:t>
            </w:r>
          </w:p>
        </w:tc>
        <w:tc>
          <w:tcPr>
            <w:tcW w:w="3552"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19959人</w:t>
            </w:r>
          </w:p>
        </w:tc>
        <w:tc>
          <w:tcPr>
            <w:tcW w:w="1574" w:type="dxa"/>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专任教师</w:t>
            </w:r>
          </w:p>
          <w:p>
            <w:pPr>
              <w:keepNext w:val="0"/>
              <w:keepLines w:val="0"/>
              <w:pageBreakBefore w:val="0"/>
              <w:widowControl w:val="0"/>
              <w:kinsoku/>
              <w:wordWrap/>
              <w:overflowPunct/>
              <w:topLinePunct w:val="0"/>
              <w:autoSpaceDE/>
              <w:autoSpaceDN/>
              <w:bidi w:val="0"/>
              <w:adjustRightInd/>
              <w:snapToGrid/>
              <w:spacing w:line="32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总数（人）</w:t>
            </w:r>
          </w:p>
        </w:tc>
        <w:tc>
          <w:tcPr>
            <w:tcW w:w="23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已有专业大类</w:t>
            </w:r>
          </w:p>
        </w:tc>
        <w:tc>
          <w:tcPr>
            <w:tcW w:w="7483"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right="0" w:rightChars="0"/>
              <w:jc w:val="left"/>
              <w:textAlignment w:val="auto"/>
              <w:rPr>
                <w:rFonts w:hint="eastAsia" w:ascii="方正仿宋_GBK" w:hAnsi="方正仿宋_GBK" w:eastAsia="方正仿宋_GBK" w:cs="方正仿宋_GBK"/>
                <w:color w:val="auto"/>
                <w:sz w:val="24"/>
                <w:szCs w:val="24"/>
                <w:u w:val="none"/>
                <w:lang w:val="en-US" w:eastAsia="zh-CN"/>
              </w:rPr>
            </w:pPr>
            <w:r>
              <w:rPr>
                <w:rFonts w:hint="eastAsia" w:ascii="方正仿宋_GBK" w:hAnsi="方正仿宋_GBK" w:eastAsia="方正仿宋_GBK" w:cs="方正仿宋_GBK"/>
                <w:color w:val="auto"/>
                <w:sz w:val="24"/>
                <w:szCs w:val="24"/>
                <w:u w:val="none"/>
              </w:rPr>
              <w:t>现代物流管理、移动商务、大数据财务管理</w:t>
            </w:r>
            <w:r>
              <w:rPr>
                <w:rFonts w:hint="eastAsia" w:ascii="方正仿宋_GBK" w:hAnsi="方正仿宋_GBK" w:eastAsia="方正仿宋_GBK" w:cs="方正仿宋_GBK"/>
                <w:color w:val="auto"/>
                <w:sz w:val="24"/>
                <w:szCs w:val="24"/>
                <w:u w:val="none"/>
                <w:lang w:eastAsia="zh-CN"/>
              </w:rPr>
              <w:t>、大数据与会计、</w:t>
            </w:r>
            <w:r>
              <w:rPr>
                <w:rFonts w:hint="eastAsia" w:ascii="方正仿宋_GBK" w:hAnsi="方正仿宋_GBK" w:eastAsia="方正仿宋_GBK" w:cs="方正仿宋_GBK"/>
                <w:color w:val="auto"/>
                <w:sz w:val="24"/>
                <w:szCs w:val="24"/>
                <w:u w:val="none"/>
                <w:lang w:val="en-US" w:eastAsia="zh-CN"/>
              </w:rPr>
              <w:t xml:space="preserve">         </w:t>
            </w:r>
            <w:r>
              <w:rPr>
                <w:rFonts w:hint="eastAsia" w:ascii="方正仿宋_GBK" w:hAnsi="方正仿宋_GBK" w:eastAsia="方正仿宋_GBK" w:cs="方正仿宋_GBK"/>
                <w:color w:val="auto"/>
                <w:sz w:val="24"/>
                <w:szCs w:val="24"/>
                <w:u w:val="none"/>
                <w:lang w:eastAsia="zh-CN"/>
              </w:rPr>
              <w:t>供应链运营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8" w:hRule="atLeast"/>
          <w:jc w:val="center"/>
        </w:trPr>
        <w:tc>
          <w:tcPr>
            <w:tcW w:w="1941"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学校简介</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default" w:ascii="Times New Roman" w:hAnsi="Times New Roman" w:eastAsia="方正仿宋_GBK" w:cs="Times New Roman"/>
                <w:color w:val="auto"/>
                <w:sz w:val="24"/>
                <w:szCs w:val="24"/>
                <w:u w:val="none"/>
              </w:rPr>
            </w:pPr>
            <w:r>
              <w:rPr>
                <w:rFonts w:hint="eastAsia" w:ascii="方正仿宋_GBK" w:hAnsi="方正仿宋_GBK" w:eastAsia="方正仿宋_GBK" w:cs="方正仿宋_GBK"/>
                <w:color w:val="auto"/>
                <w:sz w:val="24"/>
                <w:szCs w:val="24"/>
                <w:u w:val="none"/>
              </w:rPr>
              <w:t>和</w:t>
            </w:r>
            <w:r>
              <w:rPr>
                <w:rFonts w:hint="default" w:ascii="Times New Roman" w:hAnsi="Times New Roman" w:eastAsia="方正仿宋_GBK" w:cs="Times New Roman"/>
                <w:color w:val="auto"/>
                <w:sz w:val="24"/>
                <w:szCs w:val="24"/>
                <w:u w:val="none"/>
              </w:rPr>
              <w:t>历史沿革</w:t>
            </w:r>
          </w:p>
          <w:p>
            <w:pPr>
              <w:keepNext w:val="0"/>
              <w:keepLines w:val="0"/>
              <w:pageBreakBefore w:val="0"/>
              <w:widowControl w:val="0"/>
              <w:kinsoku/>
              <w:wordWrap/>
              <w:overflowPunct/>
              <w:topLinePunct w:val="0"/>
              <w:autoSpaceDE/>
              <w:autoSpaceDN/>
              <w:bidi w:val="0"/>
              <w:adjustRightInd/>
              <w:snapToGrid/>
              <w:spacing w:line="300" w:lineRule="exact"/>
              <w:ind w:left="0" w:leftChars="0" w:right="0" w:rightChars="0"/>
              <w:jc w:val="center"/>
              <w:textAlignment w:val="auto"/>
              <w:rPr>
                <w:rFonts w:hint="eastAsia" w:ascii="方正仿宋_GBK" w:hAnsi="方正仿宋_GBK" w:eastAsia="方正仿宋_GBK" w:cs="方正仿宋_GBK"/>
                <w:color w:val="auto"/>
                <w:sz w:val="24"/>
                <w:szCs w:val="24"/>
                <w:u w:val="none"/>
              </w:rPr>
            </w:pPr>
            <w:r>
              <w:rPr>
                <w:rFonts w:hint="default" w:ascii="Times New Roman" w:hAnsi="Times New Roman" w:eastAsia="方正仿宋_GBK" w:cs="Times New Roman"/>
                <w:color w:val="auto"/>
                <w:sz w:val="24"/>
                <w:szCs w:val="24"/>
                <w:u w:val="none"/>
              </w:rPr>
              <w:t>（300字以内）</w:t>
            </w:r>
          </w:p>
        </w:tc>
        <w:tc>
          <w:tcPr>
            <w:tcW w:w="7483" w:type="dxa"/>
            <w:gridSpan w:val="4"/>
            <w:noWrap w:val="0"/>
            <w:vAlign w:val="top"/>
          </w:tcPr>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新疆应用职业技术学院自1974年的农七师师范学校起，历经奎屯师范学校、伊犁州奎屯师范学院、伊犁州教师进修学院、伊犁教育学院、伊犁师范学院奎屯校区。2012年成立新疆应用职业技术学院。</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学院占地面积1411.25亩，校舍面积47.23万平方米。教职工659人，其中专任教师558人</w:t>
            </w:r>
            <w:r>
              <w:rPr>
                <w:rFonts w:hint="eastAsia" w:ascii="方正仿宋_GBK" w:hAnsi="方正仿宋_GBK" w:eastAsia="方正仿宋_GBK" w:cs="方正仿宋_GBK"/>
                <w:color w:val="auto"/>
                <w:sz w:val="24"/>
                <w:szCs w:val="24"/>
                <w:u w:val="none"/>
                <w:lang w:eastAsia="zh-CN"/>
              </w:rPr>
              <w:t>，</w:t>
            </w:r>
            <w:r>
              <w:rPr>
                <w:rFonts w:hint="eastAsia" w:ascii="方正仿宋_GBK" w:hAnsi="方正仿宋_GBK" w:eastAsia="方正仿宋_GBK" w:cs="方正仿宋_GBK"/>
                <w:color w:val="auto"/>
                <w:sz w:val="24"/>
                <w:szCs w:val="24"/>
                <w:u w:val="none"/>
              </w:rPr>
              <w:t>副高级以上职称127人。在籍在册学生19959人。学院设有高职专业41个</w:t>
            </w:r>
            <w:r>
              <w:rPr>
                <w:rFonts w:hint="eastAsia" w:ascii="方正仿宋_GBK" w:hAnsi="方正仿宋_GBK" w:eastAsia="方正仿宋_GBK" w:cs="方正仿宋_GBK"/>
                <w:color w:val="auto"/>
                <w:sz w:val="24"/>
                <w:szCs w:val="24"/>
                <w:u w:val="none"/>
                <w:lang w:eastAsia="zh-CN"/>
              </w:rPr>
              <w:t>，</w:t>
            </w:r>
            <w:r>
              <w:rPr>
                <w:rFonts w:hint="eastAsia" w:ascii="方正仿宋_GBK" w:hAnsi="方正仿宋_GBK" w:eastAsia="方正仿宋_GBK" w:cs="方正仿宋_GBK"/>
                <w:color w:val="auto"/>
                <w:sz w:val="24"/>
                <w:szCs w:val="24"/>
                <w:u w:val="none"/>
              </w:rPr>
              <w:t>建有132个校内实习实训室和140余个稳定的校外实习实训基地，图书107.7万册。</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480" w:firstLineChars="200"/>
              <w:jc w:val="both"/>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学院立足北疆、服务“一带一路”向西开放国家战略，融入全球供应链，紧跟现代物流发展步伐，构建丝路核心区建设格局。努力把学院打造成一所办学特色鲜明、人才培养质量高、社会服务成效显著、有较高社会影响力的综合性高等职业技术院校。</w:t>
            </w:r>
          </w:p>
        </w:tc>
      </w:tr>
    </w:tbl>
    <w:p>
      <w:pPr>
        <w:spacing w:line="360" w:lineRule="auto"/>
        <w:jc w:val="center"/>
        <w:rPr>
          <w:rFonts w:ascii="Arial Unicode MS" w:hAnsi="黑体" w:eastAsia="Arial Unicode MS"/>
          <w:color w:val="auto"/>
          <w:sz w:val="44"/>
          <w:szCs w:val="44"/>
          <w:u w:val="none"/>
        </w:rPr>
      </w:pPr>
      <w:r>
        <w:rPr>
          <w:rFonts w:ascii="黑体" w:hAnsi="黑体" w:eastAsia="黑体"/>
          <w:color w:val="auto"/>
          <w:sz w:val="24"/>
          <w:u w:val="none"/>
        </w:rPr>
        <w:br w:type="page"/>
      </w:r>
      <w:r>
        <w:rPr>
          <w:rFonts w:hint="eastAsia" w:ascii="Arial Unicode MS" w:hAnsi="黑体" w:eastAsia="Arial Unicode MS"/>
          <w:color w:val="auto"/>
          <w:sz w:val="44"/>
          <w:szCs w:val="44"/>
          <w:u w:val="none"/>
        </w:rPr>
        <w:t>申请增设专业的理由和基础</w:t>
      </w:r>
    </w:p>
    <w:tbl>
      <w:tblPr>
        <w:tblStyle w:val="1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00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472" w:hRule="atLeast"/>
          <w:jc w:val="center"/>
        </w:trPr>
        <w:tc>
          <w:tcPr>
            <w:tcW w:w="9000" w:type="dxa"/>
            <w:noWrap w:val="0"/>
            <w:vAlign w:val="top"/>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方正仿宋_GBK" w:hAnsi="方正仿宋_GBK" w:eastAsia="方正仿宋_GBK" w:cs="方正仿宋_GBK"/>
                <w:color w:val="auto"/>
                <w:sz w:val="24"/>
                <w:szCs w:val="24"/>
                <w:u w:val="none"/>
              </w:rPr>
            </w:pPr>
            <w:r>
              <w:rPr>
                <w:rFonts w:hint="eastAsia" w:ascii="方正仿宋_GBK" w:hAnsi="方正仿宋_GBK" w:eastAsia="方正仿宋_GBK" w:cs="方正仿宋_GBK"/>
                <w:color w:val="auto"/>
                <w:sz w:val="24"/>
                <w:szCs w:val="24"/>
                <w:u w:val="none"/>
              </w:rPr>
              <w:t>（应包括申请增设专业的主要理由、学校专业发展规划及人才需求预测情况等方面的内容，如需要可加页）</w:t>
            </w:r>
          </w:p>
          <w:p>
            <w:pPr>
              <w:keepNext w:val="0"/>
              <w:keepLines w:val="0"/>
              <w:pageBreakBefore w:val="0"/>
              <w:kinsoku/>
              <w:wordWrap/>
              <w:overflowPunct/>
              <w:topLinePunct w:val="0"/>
              <w:autoSpaceDE/>
              <w:autoSpaceDN/>
              <w:bidi w:val="0"/>
              <w:spacing w:line="360" w:lineRule="auto"/>
              <w:ind w:firstLine="562" w:firstLineChars="200"/>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增设专业的主要理由：</w:t>
            </w:r>
          </w:p>
          <w:p>
            <w:pPr>
              <w:keepNext w:val="0"/>
              <w:keepLines w:val="0"/>
              <w:pageBreakBefore w:val="0"/>
              <w:kinsoku/>
              <w:wordWrap/>
              <w:overflowPunct/>
              <w:topLinePunct w:val="0"/>
              <w:autoSpaceDE/>
              <w:autoSpaceDN/>
              <w:bidi w:val="0"/>
              <w:spacing w:line="360" w:lineRule="auto"/>
              <w:ind w:firstLine="562" w:firstLineChars="200"/>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一、增设跨境电子商务专业设置必要性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eastAsia="zh-CN"/>
              </w:rPr>
            </w:pPr>
            <w:r>
              <w:rPr>
                <w:rFonts w:hint="eastAsia" w:ascii="宋体" w:hAnsi="宋体" w:eastAsia="宋体" w:cs="宋体"/>
                <w:b/>
                <w:bCs/>
                <w:i w:val="0"/>
                <w:iCs w:val="0"/>
                <w:caps w:val="0"/>
                <w:color w:val="222222"/>
                <w:spacing w:val="0"/>
                <w:sz w:val="24"/>
                <w:szCs w:val="24"/>
                <w:highlight w:val="none"/>
                <w:shd w:val="clear" w:color="auto" w:fill="FFFFFF"/>
              </w:rPr>
              <w:t>（一）</w:t>
            </w:r>
            <w:r>
              <w:rPr>
                <w:rFonts w:hint="eastAsia" w:ascii="宋体" w:hAnsi="宋体" w:eastAsia="宋体" w:cs="宋体"/>
                <w:b/>
                <w:bCs/>
                <w:i w:val="0"/>
                <w:iCs w:val="0"/>
                <w:caps w:val="0"/>
                <w:color w:val="222222"/>
                <w:spacing w:val="0"/>
                <w:sz w:val="24"/>
                <w:szCs w:val="24"/>
                <w:highlight w:val="none"/>
                <w:shd w:val="clear" w:color="auto" w:fill="FFFFFF"/>
                <w:lang w:eastAsia="zh-CN"/>
              </w:rPr>
              <w:t>服务新时代国家重大发展战略的需要</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1.跨境电商成为我国外贸发展新引擎，产业发展潜力大</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带一路”、新时代西部大开发、新疆自贸区建设等重大国家发展战略的实施背景下，政策红利释放，庞大市场驱动、企业加速布局，越来越多的传统外贸企业正加快跨境电商的布局步伐。2013年，国家主席习近平审时度势，提出共建“一带一路”宏伟倡议，已发展为深受欢迎的国际公共产品和国际合作平台，为构建人类命运共同体贡献了中国智慧、中国方案、中国力量，新疆作为丝绸之路经济带核心区，具有独特的区位优势，可充分发挥向西开放的重要窗口作用。习近平总书记明确指出：要深入推进“一带一路”建设，中国将推动跨境电商等新业态新模式加快发展，培育外贸新动能。2020年中共中央、国务院《关于新时代推进西部大开发形成新格局的指导意见》明确指出：以共建“一带一路”为引领，加大西部开放力度，支持新疆加快丝绸之路经济带核心区建设，打造我国内陆开放和沿边开放高地。2023年11月，中国（新疆）自由贸易试验区在乌鲁木齐揭牌，进入全面启动建设阶段。建立中国（新疆）自由贸易试验区是新时代推进改革开放的重要战略举措，新疆自贸区建设将努力打造促进中西部地区高质量发展的示范样板，构建新疆融入国内国际双循环的重要枢纽，服务“一带一路”核心区建设，助力创建亚欧黄金通道和我国向西开放的桥头堡。</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2.跨境电商人才缺口凸显，高校人才培育与企业人才需求差距大</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随着越来越多的企业开始进入跨境电子商务领域，跨境电商直播、数字化营销、海外仓管理、本土化运营等新型职业岗位对跨境电商人才需求呈现爆发式增长，对从业人员的知识结构、技能水平及职业素养提出了全新的要求，目前各类跨境电商行业发展所需的专业跨境电商人才均处于紧缺状态。跨境电商人才数量和质量与实际需求仍相差甚远，跨境电子商务企业依旧面临着运营人才匮乏的问题，跨境电子商务专业作为新兴专业，在人才培养方面难以有效满足企业用人需求。据商务部电子商务和信息化司发布的相关数据显示，中国跨境电子商务人才缺口据统计已接近450万，并以每年30％的增速扩大。构建跨境电商高质量人才培养体系，为跨境电商发展提供人才支撑是促进跨境电商服务新时代国家重大发展战略的迫切需要。设置跨境电子商务专业，提高跨境电商人才培养的质量，有效地增加跨境电商企业发展的人才储备，满足新疆自贸区建设对跨境电子商务技术技能人才培养的需要，为自贸区丰富跨境电商、物流全程协同等地方特色应用提供人才支撑，对推动新疆自贸区高质量发展具有重要意义。</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（二）服务新疆跨境电商产业高质量发展的需要</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1.新疆区位资源优势得天独厚，跨境电商产业快速发展</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发展跨境电商等贸易新业态，是推动外贸高质量发展的重要举措，是推动新疆通道经济向产业经济、口岸经济转型的重要载体。不仅有利于促进外贸结构优化、规模稳定，更有利于打造国际经济合作新优势。新疆得天独厚的区位和资源优势，为电商提供了“跨”的通道和支点。新疆跨境电商不仅持续激发新疆外贸活力，也为打造新疆高水平对外开放新高地奠定了基础。随着建设中国（新疆）自由贸易试验区带来的新机遇，以及“八大产业集群”建设不断增添新活力，新疆跨境电商从无到有、从有到优，发展成果丰硕。据统计，截至2022年12月，新疆跨境电商进出口额85.2亿元，同比增长311.6%，占社会消费品零售总额的6%。2023年一季度，新疆跨境电商交易额为33.5亿元，同比增长2.4倍，2023年前11个月，新疆的跨境电商订单不断增加，进出口值同比增长3倍，目前，新形成了以直购出口、企业对企业出口、出口海外仓为主，网购保税进口为辅的跨境电商贸易新格局。新疆作为“丝绸之路经济带”核心区、中国（新疆）自由贸易试验区可充分依托口岸、中欧班列、周边国家海外仓等优势开展口岸跨境电子商务、班列跨境电子商务、海外仓直播跨境电子商务等创新，加快跨境电子商务模式创新发展，挖掘跨境电商产业发展潜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default"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2.新疆跨境电商人才缺口庞大，人才培养质量亟待提升</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textAlignment w:val="auto"/>
              <w:outlineLvl w:val="9"/>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跨境人才数量不足，质量不高是困扰新疆跨境电商企业的主要问题。新疆跨境电商主要面对中亚及“一带一路”沿线国家，要求新疆跨境电商企业从业人员不仅要具备良好的计算机基础，能够处理各种复杂的平台业务，还需要熟练使用一种以上目标区域国家的语言，这就给高校培养高素质跨境电商人才提出了更高要求，不仅要求高校培养熟悉电商系统的人才，还需要多语种人才。新疆跨境电商起步较晚，当地外贸企业跨境电商普及率不到20%，已开展跨境电商的外贸企业主要集中在乌鲁木齐、霍尔果斯、喀什，主要进出口国是中亚五国。与过去相比，新疆外贸企业普及率呈增加趋势，但仍低于全国平均水平。但目前新疆只有个别高校开设跨境电商课程，复合型跨境电商人才培养体系不健全、针对性不强，尤其是缺乏培养多语种跨境电商人才的体系。因此，从新疆高校毕业生实际就业和进入跨境电商企业工作现状来看，目前新疆高校培养的跨境电商人才不能满足跨境电商企业发展的需要。</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（三）服务伊犁州国家级跨境电商综合试验区建设需要</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firstLine="480" w:firstLineChars="200"/>
              <w:textAlignment w:val="auto"/>
              <w:outlineLvl w:val="9"/>
              <w:rPr>
                <w:rFonts w:hint="eastAsia" w:ascii="宋体" w:hAnsi="宋体" w:eastAsia="宋体" w:cs="宋体"/>
                <w:b w:val="0"/>
                <w:bCs w:val="0"/>
                <w:i w:val="0"/>
                <w:iCs w:val="0"/>
                <w:caps w:val="0"/>
                <w:color w:val="222222"/>
                <w:spacing w:val="0"/>
                <w:kern w:val="2"/>
                <w:sz w:val="24"/>
                <w:szCs w:val="24"/>
                <w:highlight w:val="none"/>
                <w:shd w:val="clear" w:color="auto" w:fill="FFFFFF"/>
                <w:lang w:val="en-US" w:eastAsia="zh-CN" w:bidi="ar-SA"/>
              </w:rPr>
            </w:pPr>
            <w:r>
              <w:rPr>
                <w:rFonts w:hint="eastAsia" w:ascii="宋体" w:hAnsi="宋体" w:eastAsia="宋体" w:cs="宋体"/>
                <w:b w:val="0"/>
                <w:bCs w:val="0"/>
                <w:i w:val="0"/>
                <w:iCs w:val="0"/>
                <w:caps w:val="0"/>
                <w:color w:val="222222"/>
                <w:spacing w:val="0"/>
                <w:kern w:val="2"/>
                <w:sz w:val="24"/>
                <w:szCs w:val="24"/>
                <w:highlight w:val="none"/>
                <w:shd w:val="clear" w:color="auto" w:fill="FFFFFF"/>
                <w:lang w:val="en-US" w:eastAsia="zh-CN" w:bidi="ar-SA"/>
              </w:rPr>
              <w:t>目前伊犁州尚无高职院校开设跨境电商专业，难以满足跨境电商企业对高素质技术技能人才的需求。伊犁州作为我国向西开放的桥头堡，设有霍尔果斯经济开发区、全国首个跨国经济合作区--中哈霍尔果斯国际边境合作中心。2022年11月伊犁州获批国家级跨境电商综合试验区。在新疆跨境电商发展较好的城市中伊犁州的霍尔果斯市、伊宁市等城市名列其中，这些城市都在“一带一路”建设中占据了重要地位。霍尔果斯口岸是中国最早向西开放的公路口岸，先后批准为综合保税区、国家向西开放自由实验贸易区。学校所在地伊犁州奎屯市不仅是“天山北坡经济带”枢纽中心城市，同时拥有商务部确定的商贸物流中心城市、全国电子商务示范基地和国家二类口岸、全国供应链创新试点城市、综合物流保税区等诸多商</w:t>
            </w:r>
            <w:r>
              <w:rPr>
                <w:rFonts w:hint="eastAsia" w:ascii="宋体" w:hAnsi="宋体" w:eastAsia="宋体" w:cs="宋体"/>
                <w:b w:val="0"/>
                <w:bCs w:val="0"/>
                <w:kern w:val="2"/>
                <w:sz w:val="24"/>
                <w:szCs w:val="24"/>
                <w:highlight w:val="none"/>
                <w:lang w:val="en-US" w:eastAsia="zh-CN" w:bidi="ar-SA"/>
              </w:rPr>
              <w:t>贸物</w:t>
            </w:r>
            <w:r>
              <w:rPr>
                <w:rFonts w:hint="eastAsia" w:ascii="宋体" w:hAnsi="宋体" w:eastAsia="宋体" w:cs="宋体"/>
                <w:b w:val="0"/>
                <w:bCs w:val="0"/>
                <w:i w:val="0"/>
                <w:iCs w:val="0"/>
                <w:caps w:val="0"/>
                <w:color w:val="222222"/>
                <w:spacing w:val="0"/>
                <w:kern w:val="2"/>
                <w:sz w:val="24"/>
                <w:szCs w:val="24"/>
                <w:highlight w:val="none"/>
                <w:shd w:val="clear" w:color="auto" w:fill="FFFFFF"/>
                <w:lang w:val="en-US" w:eastAsia="zh-CN" w:bidi="ar-SA"/>
              </w:rPr>
              <w:t>流相关荣誉。自治区及伊犁州都将该区域定位为国家重要的能源基地和轻工业基地、商贸物流中心，是天山北坡经济带重要增长极。2022年伊犁州直跨境电子商务进出口29.1亿元，增长72.2%。在跨境电商高速发展的背后是对跨境电商人才的庞大需求，跨境电商人才的缺乏已成为制约伊犁州跨境电商综合试验区的高质量发展的重要因素，当前学院申报跨境电商专业是满足伊犁州国家级跨境电商综合试验区建设的迫切需要。</w:t>
            </w:r>
          </w:p>
          <w:p>
            <w:pPr>
              <w:keepNext w:val="0"/>
              <w:keepLines w:val="0"/>
              <w:pageBreakBefore w:val="0"/>
              <w:kinsoku/>
              <w:wordWrap/>
              <w:overflowPunct/>
              <w:topLinePunct w:val="0"/>
              <w:autoSpaceDE/>
              <w:autoSpaceDN/>
              <w:bidi w:val="0"/>
              <w:spacing w:line="360" w:lineRule="auto"/>
              <w:ind w:firstLine="562" w:firstLineChars="200"/>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二、开设跨境电子商务专业的可行性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（一）各级政策大力支持</w:t>
            </w:r>
          </w:p>
          <w:p>
            <w:pPr>
              <w:pStyle w:val="11"/>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firstLine="480" w:firstLineChars="200"/>
              <w:textAlignment w:val="auto"/>
              <w:outlineLvl w:val="9"/>
              <w:rPr>
                <w:rFonts w:hint="eastAsia"/>
                <w:highlight w:val="none"/>
                <w:lang w:val="en-US" w:eastAsia="zh-CN"/>
              </w:rPr>
            </w:pPr>
            <w:r>
              <w:rPr>
                <w:rFonts w:hint="eastAsia" w:ascii="宋体" w:hAnsi="宋体" w:eastAsia="宋体" w:cs="宋体"/>
                <w:b w:val="0"/>
                <w:bCs w:val="0"/>
                <w:i w:val="0"/>
                <w:iCs w:val="0"/>
                <w:caps w:val="0"/>
                <w:color w:val="222222"/>
                <w:spacing w:val="0"/>
                <w:kern w:val="2"/>
                <w:sz w:val="24"/>
                <w:szCs w:val="24"/>
                <w:highlight w:val="none"/>
                <w:shd w:val="clear" w:color="auto" w:fill="FFFFFF"/>
                <w:lang w:val="en-US" w:eastAsia="zh-CN" w:bidi="ar-SA"/>
              </w:rPr>
              <w:t>近年来，国家对跨境电商行业的高度重视出台了一系列跨境电商产业扶持政策，设立165个跨境电商综合试验区，鼓励发展跨境电商+产业带模式，支持建设海外仓等。党的二十大报告强调，“推动货物贸易优化升级，创新服务贸易发展机制，发展数字贸易，加快建设贸易强国”。《数字中国建设整体布局规划》指出“高质量共建数字丝绸之路”，《携手构建网络空间命运共同体》白皮书发布，中国—中亚峰会召开，中国（新疆）自由贸易试验区揭牌也为中国推进与中亚国家跨境电商领域合作创造了有利条件。</w:t>
            </w:r>
            <w:r>
              <w:rPr>
                <w:rFonts w:hint="eastAsia" w:ascii="宋体" w:hAnsi="宋体" w:eastAsia="宋体" w:cs="宋体"/>
                <w:sz w:val="24"/>
                <w:szCs w:val="24"/>
                <w:highlight w:val="none"/>
                <w:lang w:val="en-US" w:eastAsia="zh-CN"/>
              </w:rPr>
              <w:t>2018年包括《电商法》、跨境电商新政在内的一系列跨境电商利好政策，在规范行业健康发展的同时，也将推动中国跨境电商持续增长。2019年伊始，全国进出口工作会议在京召开，会议对今年外贸重点工作进行了部署并表示，2019年全国商务系统将稳步推进贸易强国建设，促进对外贸易稳中提质，推动外贸高质量发展，进一步开拓多元化市场，优化国际市场布局，改革完善跨境电商等新业态扶持政策，持续提升贸易便利化水平。2021年的《十四五”电子商务发展规划》中的基本原则指出，要坚持融合共生，协调发展，构建资源共享、协同发展的良好生态。并且在主要任务中提出，要提升跨境电商产业链协同水平，支持产业链上下游企业资源整合与数据共享，打造产业链协同共赢的生态体系。2022年2月，国务院发布的《关于同意在鄂尔多斯等27个城市和地区设立跨境电子商务综合试验区的批复》，新疆喀什地区、阿拉山口市入围全国第六批跨境电商综试区名单。至此，包括乌鲁木齐跨境电商综试区，新疆的跨境电商综试区已有三家。综试区通过制度、管理以及服务创新与协同发展，打造完整的产业生态链，逐步形成适应和引领全球跨境电商发展的管理制度和规则，为推动新疆跨境电商发展提供可复制推广的经验。</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kern w:val="2"/>
                <w:sz w:val="24"/>
                <w:szCs w:val="24"/>
                <w:highlight w:val="none"/>
                <w:lang w:val="en-US" w:eastAsia="zh-CN" w:bidi="zh-CN"/>
              </w:rPr>
            </w:pPr>
            <w:r>
              <w:rPr>
                <w:rFonts w:hint="eastAsia" w:ascii="宋体" w:hAnsi="宋体" w:eastAsia="宋体" w:cs="宋体"/>
                <w:kern w:val="2"/>
                <w:sz w:val="24"/>
                <w:szCs w:val="24"/>
                <w:highlight w:val="none"/>
                <w:lang w:val="en-US" w:eastAsia="zh-CN" w:bidi="zh-CN"/>
              </w:rPr>
              <w:t>近年来，自治区党委和政府高度重视跨境电商发展，先后印发《自治区跨境电商零售进口监管实施方案》《新疆维吾尔自治区跨境电商发展实施方案》等促进电商发展的文件，营造贸易便利、物流快捷、监管高效、法治规范的跨境电商发展环境，为新疆跨境电商发展铺平道路和奠定基础。《新疆电子商务“十四五”发展规划》明确指出，要将跨境电商作为自治区的重点。新疆将跨境电商作为新的增长点，并在资金、税收、通关等方面给予政策支持。《新疆维吾尔自治区人民政府关于加快推进丝绸之路经济带核心区建设的意见》提出：要建立健全新疆跨境电子商务综合试验区体制机制，促进跨境电子商务发展。充分发挥新疆的区位优势，加强与“一带一路”沿线国家的经贸合作，把跨境电子商务作为深化对外开放的重要起点，建立健全跨境电子商务发展服务体系和综合监管服务平台，提高跨境电子商务综合服务水平，便利跨境电子商务通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rPr>
            </w:pPr>
            <w:r>
              <w:rPr>
                <w:rFonts w:hint="eastAsia" w:ascii="宋体" w:hAnsi="宋体" w:eastAsia="宋体" w:cs="宋体"/>
                <w:b/>
                <w:bCs/>
                <w:i w:val="0"/>
                <w:iCs w:val="0"/>
                <w:caps w:val="0"/>
                <w:color w:val="222222"/>
                <w:spacing w:val="0"/>
                <w:sz w:val="24"/>
                <w:szCs w:val="24"/>
                <w:highlight w:val="none"/>
                <w:shd w:val="clear" w:color="auto" w:fill="FFFFFF"/>
              </w:rPr>
              <w:t>（二）专业建设基础扎实</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1.教学团队符合职业专科设置要求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专业通过外引（聘）内培的方式，与援疆单位、合作校企共建了一支具有双师结构教学团队。目前已建成总人数14人，以中青年骨干力量为主，职称结构、学历结构、双师结构、年龄结构合理的专业教师团队，教学团队牵头建设全国口岸贸易产教融合共同体、新疆现代物流职教集团、伊犁州智慧物流产教融合工程技术研究中心、亚欧丝路电商产业学院</w:t>
            </w:r>
            <w:r>
              <w:rPr>
                <w:rFonts w:hint="eastAsia" w:ascii="宋体" w:hAnsi="宋体" w:cs="宋体"/>
                <w:sz w:val="24"/>
                <w:szCs w:val="24"/>
                <w:highlight w:val="none"/>
                <w:lang w:val="en-US" w:eastAsia="zh-CN"/>
              </w:rPr>
              <w:t>等</w:t>
            </w:r>
            <w:r>
              <w:rPr>
                <w:rFonts w:hint="eastAsia" w:ascii="宋体" w:hAnsi="宋体" w:eastAsia="宋体" w:cs="宋体"/>
                <w:sz w:val="24"/>
                <w:szCs w:val="24"/>
                <w:highlight w:val="none"/>
                <w:lang w:val="en-US" w:eastAsia="zh-CN"/>
              </w:rPr>
              <w:t>。团队取得各级教学科研成果丰硕，3位教师参加职业院校技能大赛教学能力比赛先后获国赛三等奖、省赛一等奖，教师参加省部级职业技能竞赛获一等奖6个，承担各级各类赛事执裁6次；主持或参与各类课题20项，发表专业性论文40余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2.人才培养方案设置科学规范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专业人才培养方案采用市场调研，行业企业专家指导，校企共同研讨制定，遵循技术技能人才成长规律，突出知识和技能培养，按照职业专科毕业生要求，使得学生能够从事跨境电商运营专员，跨境电商推广专员，跨境电商数据分析专员，跨境电商客服专员，视觉营销设计专员，跨境物流专员的能力。强化实践实习环节“协同创新”，跨境电商专业学生的基础知识、基本技能扎实，实践能力明显增强。实践教学课时占总课时的50%以上，实验实训项目（任务）开出率超过90%。</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3.产教深度融合，校内外实训条件符合建设要求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通过引企入校共建生产实训基地建设校企结合、优势互补、资源共享、双赢共进的校内外实训实习基地、构建了以职教集团为纽带的政校行企四方聚力共同推进产教融合协同育人的新模式，通过政校行企共建各类产教融合产学研用平台、不断完善产教融合长效机制，实现了产教深度融合，专业内涵建设不断提升。</w:t>
            </w:r>
            <w:r>
              <w:rPr>
                <w:rFonts w:hint="default" w:ascii="宋体" w:hAnsi="宋体" w:eastAsia="宋体" w:cs="宋体"/>
                <w:sz w:val="24"/>
                <w:szCs w:val="24"/>
                <w:highlight w:val="none"/>
                <w:lang w:val="en-US" w:eastAsia="zh-CN"/>
              </w:rPr>
              <w:t>专业群现建有1栋综合实训楼，</w:t>
            </w:r>
            <w:r>
              <w:rPr>
                <w:rFonts w:hint="eastAsia" w:ascii="宋体" w:hAnsi="宋体" w:eastAsia="宋体" w:cs="宋体"/>
                <w:sz w:val="24"/>
                <w:szCs w:val="24"/>
                <w:highlight w:val="none"/>
                <w:lang w:val="en-US" w:eastAsia="zh-CN"/>
              </w:rPr>
              <w:t>2</w:t>
            </w:r>
            <w:r>
              <w:rPr>
                <w:rFonts w:hint="default" w:ascii="宋体" w:hAnsi="宋体" w:eastAsia="宋体" w:cs="宋体"/>
                <w:sz w:val="24"/>
                <w:szCs w:val="24"/>
                <w:highlight w:val="none"/>
                <w:lang w:val="en-US" w:eastAsia="zh-CN"/>
              </w:rPr>
              <w:t>个校内综合实训室、</w:t>
            </w:r>
            <w:r>
              <w:rPr>
                <w:rFonts w:hint="eastAsia" w:ascii="宋体" w:hAnsi="宋体" w:eastAsia="宋体" w:cs="宋体"/>
                <w:sz w:val="24"/>
                <w:szCs w:val="24"/>
                <w:highlight w:val="none"/>
                <w:lang w:val="en-US" w:eastAsia="zh-CN"/>
              </w:rPr>
              <w:t>5</w:t>
            </w:r>
            <w:r>
              <w:rPr>
                <w:rFonts w:hint="default" w:ascii="宋体" w:hAnsi="宋体" w:eastAsia="宋体" w:cs="宋体"/>
                <w:sz w:val="24"/>
                <w:szCs w:val="24"/>
                <w:highlight w:val="none"/>
                <w:lang w:val="en-US" w:eastAsia="zh-CN"/>
              </w:rPr>
              <w:t>个专项实训室，积极引进菜鸟、天猫、亚欧3个企业入驻校园，已与浙江菜鸟供应链管理有限公司、亚欧国际物资交易中心共建跨境电商</w:t>
            </w:r>
            <w:r>
              <w:rPr>
                <w:rFonts w:hint="eastAsia" w:ascii="宋体" w:hAnsi="宋体" w:eastAsia="宋体" w:cs="宋体"/>
                <w:sz w:val="24"/>
                <w:szCs w:val="24"/>
                <w:highlight w:val="none"/>
                <w:lang w:val="en-US" w:eastAsia="zh-CN"/>
              </w:rPr>
              <w:t>、新零售</w:t>
            </w:r>
            <w:r>
              <w:rPr>
                <w:rFonts w:hint="default" w:ascii="宋体" w:hAnsi="宋体" w:eastAsia="宋体" w:cs="宋体"/>
                <w:sz w:val="24"/>
                <w:szCs w:val="24"/>
                <w:highlight w:val="none"/>
                <w:lang w:val="en-US" w:eastAsia="zh-CN"/>
              </w:rPr>
              <w:t>两个校内生产性实践实训基地，引入企业投资1100万元。（见表1）</w:t>
            </w:r>
          </w:p>
          <w:p>
            <w:pPr>
              <w:keepNext w:val="0"/>
              <w:keepLines w:val="0"/>
              <w:pageBreakBefore w:val="0"/>
              <w:widowControl w:val="0"/>
              <w:kinsoku/>
              <w:wordWrap/>
              <w:overflowPunct/>
              <w:topLinePunct w:val="0"/>
              <w:autoSpaceDE/>
              <w:autoSpaceDN/>
              <w:bidi w:val="0"/>
              <w:adjustRightInd w:val="0"/>
              <w:snapToGrid w:val="0"/>
              <w:spacing w:line="460" w:lineRule="exact"/>
              <w:ind w:firstLine="482" w:firstLineChars="200"/>
              <w:jc w:val="center"/>
              <w:textAlignment w:val="auto"/>
              <w:outlineLvl w:val="9"/>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表1 校内实训基地统计表</w:t>
            </w:r>
          </w:p>
          <w:tbl>
            <w:tblPr>
              <w:tblStyle w:val="12"/>
              <w:tblW w:w="8577" w:type="dxa"/>
              <w:tblInd w:w="0" w:type="dxa"/>
              <w:tblLayout w:type="fixed"/>
              <w:tblCellMar>
                <w:top w:w="15" w:type="dxa"/>
                <w:left w:w="15" w:type="dxa"/>
                <w:bottom w:w="15" w:type="dxa"/>
                <w:right w:w="15" w:type="dxa"/>
              </w:tblCellMar>
            </w:tblPr>
            <w:tblGrid>
              <w:gridCol w:w="618"/>
              <w:gridCol w:w="1230"/>
              <w:gridCol w:w="1211"/>
              <w:gridCol w:w="4069"/>
              <w:gridCol w:w="1449"/>
            </w:tblGrid>
            <w:tr>
              <w:tblPrEx>
                <w:tblCellMar>
                  <w:top w:w="15" w:type="dxa"/>
                  <w:left w:w="15" w:type="dxa"/>
                  <w:bottom w:w="15" w:type="dxa"/>
                  <w:right w:w="15" w:type="dxa"/>
                </w:tblCellMar>
              </w:tblPrEx>
              <w:trPr>
                <w:trHeight w:val="654" w:hRule="atLeast"/>
              </w:trPr>
              <w:tc>
                <w:tcPr>
                  <w:tcW w:w="618"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firstLine="0" w:firstLineChars="0"/>
                    <w:jc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序号</w:t>
                  </w:r>
                </w:p>
              </w:tc>
              <w:tc>
                <w:tcPr>
                  <w:tcW w:w="1230"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firstLine="0" w:firstLineChars="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校内实训基地名称</w:t>
                  </w:r>
                </w:p>
              </w:tc>
              <w:tc>
                <w:tcPr>
                  <w:tcW w:w="1211"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firstLine="0" w:firstLineChars="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实训室</w:t>
                  </w:r>
                </w:p>
                <w:p>
                  <w:pPr>
                    <w:spacing w:line="240" w:lineRule="auto"/>
                    <w:ind w:left="0" w:leftChars="0" w:firstLine="0" w:firstLineChars="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名称</w:t>
                  </w:r>
                </w:p>
              </w:tc>
              <w:tc>
                <w:tcPr>
                  <w:tcW w:w="406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firstLine="420" w:firstLineChars="20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建设内容</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spacing w:line="240" w:lineRule="auto"/>
                    <w:ind w:left="0" w:leftChars="0" w:firstLine="0" w:firstLineChars="0"/>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功能定位</w:t>
                  </w:r>
                </w:p>
              </w:tc>
            </w:tr>
            <w:tr>
              <w:tblPrEx>
                <w:tblCellMar>
                  <w:top w:w="15" w:type="dxa"/>
                  <w:left w:w="15" w:type="dxa"/>
                  <w:bottom w:w="15" w:type="dxa"/>
                  <w:right w:w="15" w:type="dxa"/>
                </w:tblCellMar>
              </w:tblPrEx>
              <w:trPr>
                <w:trHeight w:val="735" w:hRule="atLeast"/>
              </w:trPr>
              <w:tc>
                <w:tcPr>
                  <w:tcW w:w="6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val="en-US" w:eastAsia="zh-CN"/>
                    </w:rPr>
                    <w:t>1</w:t>
                  </w:r>
                </w:p>
              </w:tc>
              <w:tc>
                <w:tcPr>
                  <w:tcW w:w="12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跨境电商</w:t>
                  </w:r>
                  <w:r>
                    <w:rPr>
                      <w:rFonts w:hint="eastAsia" w:ascii="宋体" w:hAnsi="宋体" w:eastAsia="宋体" w:cs="宋体"/>
                      <w:color w:val="auto"/>
                      <w:sz w:val="21"/>
                      <w:szCs w:val="21"/>
                      <w:highlight w:val="none"/>
                      <w:lang w:eastAsia="zh-CN"/>
                    </w:rPr>
                    <w:t>产教融合</w:t>
                  </w:r>
                  <w:r>
                    <w:rPr>
                      <w:rFonts w:hint="eastAsia" w:ascii="宋体" w:hAnsi="宋体" w:eastAsia="宋体" w:cs="宋体"/>
                      <w:color w:val="auto"/>
                      <w:sz w:val="21"/>
                      <w:szCs w:val="21"/>
                      <w:highlight w:val="none"/>
                    </w:rPr>
                    <w:t>实训基地</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跨境电商实训室</w:t>
                  </w:r>
                </w:p>
              </w:tc>
              <w:tc>
                <w:tcPr>
                  <w:tcW w:w="4069"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跨境店铺注册、跨境物流、海外市场调研、跨境选品和产品信息化、订单处理、发货、出境报检报关</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服务区域经济</w:t>
                  </w:r>
                </w:p>
              </w:tc>
            </w:tr>
            <w:tr>
              <w:tblPrEx>
                <w:tblCellMar>
                  <w:top w:w="15" w:type="dxa"/>
                  <w:left w:w="15" w:type="dxa"/>
                  <w:bottom w:w="15" w:type="dxa"/>
                  <w:right w:w="15" w:type="dxa"/>
                </w:tblCellMar>
              </w:tblPrEx>
              <w:trPr>
                <w:trHeight w:val="467" w:hRule="atLeast"/>
              </w:trPr>
              <w:tc>
                <w:tcPr>
                  <w:tcW w:w="61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cs="宋体"/>
                      <w:color w:val="auto"/>
                      <w:sz w:val="21"/>
                      <w:szCs w:val="21"/>
                      <w:highlight w:val="none"/>
                      <w:lang w:val="en-US" w:eastAsia="zh-CN"/>
                    </w:rPr>
                  </w:pPr>
                </w:p>
              </w:tc>
              <w:tc>
                <w:tcPr>
                  <w:tcW w:w="123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eastAsia" w:ascii="宋体" w:hAnsi="宋体" w:eastAsia="宋体" w:cs="宋体"/>
                      <w:color w:val="auto"/>
                      <w:sz w:val="21"/>
                      <w:szCs w:val="21"/>
                      <w:highlight w:val="none"/>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创新创业实践基地</w:t>
                  </w:r>
                </w:p>
              </w:tc>
              <w:tc>
                <w:tcPr>
                  <w:tcW w:w="4069"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技能大赛承办、培养学生创新创业意识，服务小微企业转型升级</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服务小微企业转型</w:t>
                  </w:r>
                </w:p>
              </w:tc>
            </w:tr>
            <w:tr>
              <w:tblPrEx>
                <w:tblCellMar>
                  <w:top w:w="15" w:type="dxa"/>
                  <w:left w:w="15" w:type="dxa"/>
                  <w:bottom w:w="15" w:type="dxa"/>
                  <w:right w:w="15" w:type="dxa"/>
                </w:tblCellMar>
              </w:tblPrEx>
              <w:trPr>
                <w:trHeight w:val="735" w:hRule="atLeast"/>
              </w:trPr>
              <w:tc>
                <w:tcPr>
                  <w:tcW w:w="618"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2</w:t>
                  </w:r>
                </w:p>
              </w:tc>
              <w:tc>
                <w:tcPr>
                  <w:tcW w:w="1230" w:type="dxa"/>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新零售产教融合实训基地</w:t>
                  </w: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kern w:val="2"/>
                      <w:sz w:val="21"/>
                      <w:szCs w:val="21"/>
                      <w:highlight w:val="none"/>
                      <w:lang w:val="en-US" w:eastAsia="zh-CN" w:bidi="ar-SA"/>
                    </w:rPr>
                    <w:t>电商选品实训室</w:t>
                  </w:r>
                </w:p>
              </w:tc>
              <w:tc>
                <w:tcPr>
                  <w:tcW w:w="4069"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让学生掌握电商</w:t>
                  </w:r>
                  <w:r>
                    <w:rPr>
                      <w:rFonts w:hint="eastAsia" w:ascii="宋体" w:hAnsi="宋体" w:cs="宋体"/>
                      <w:color w:val="auto"/>
                      <w:sz w:val="21"/>
                      <w:szCs w:val="21"/>
                      <w:highlight w:val="none"/>
                      <w:lang w:eastAsia="zh-CN"/>
                    </w:rPr>
                    <w:t>选品</w:t>
                  </w:r>
                  <w:r>
                    <w:rPr>
                      <w:rFonts w:hint="eastAsia" w:ascii="宋体" w:hAnsi="宋体" w:eastAsia="宋体" w:cs="宋体"/>
                      <w:color w:val="auto"/>
                      <w:sz w:val="21"/>
                      <w:szCs w:val="21"/>
                      <w:highlight w:val="none"/>
                    </w:rPr>
                    <w:t>方面的技术技能，提升人才培养质量，更好地服务于区域经济发展</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服务区域经济</w:t>
                  </w:r>
                </w:p>
              </w:tc>
            </w:tr>
            <w:tr>
              <w:tblPrEx>
                <w:tblCellMar>
                  <w:top w:w="15" w:type="dxa"/>
                  <w:left w:w="15" w:type="dxa"/>
                  <w:bottom w:w="15" w:type="dxa"/>
                  <w:right w:w="15" w:type="dxa"/>
                </w:tblCellMar>
              </w:tblPrEx>
              <w:trPr>
                <w:trHeight w:val="735" w:hRule="atLeast"/>
              </w:trPr>
              <w:tc>
                <w:tcPr>
                  <w:tcW w:w="618"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230" w:type="dxa"/>
                  <w:vMerge w:val="continue"/>
                  <w:tcBorders>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直播电商运营实训室</w:t>
                  </w:r>
                </w:p>
              </w:tc>
              <w:tc>
                <w:tcPr>
                  <w:tcW w:w="4069"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 w:val="21"/>
                      <w:szCs w:val="21"/>
                      <w:highlight w:val="none"/>
                      <w:lang w:eastAsia="zh-CN"/>
                    </w:rPr>
                    <w:t>开展</w:t>
                  </w:r>
                  <w:r>
                    <w:rPr>
                      <w:rFonts w:hint="eastAsia" w:ascii="宋体" w:hAnsi="宋体" w:eastAsia="宋体" w:cs="宋体"/>
                      <w:color w:val="auto"/>
                      <w:sz w:val="21"/>
                      <w:szCs w:val="21"/>
                      <w:highlight w:val="none"/>
                    </w:rPr>
                    <w:t>短视频策划</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短视频拍摄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短视频编辑</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渠道变现等</w:t>
                  </w:r>
                  <w:r>
                    <w:rPr>
                      <w:rFonts w:hint="eastAsia" w:ascii="宋体" w:hAnsi="宋体" w:cs="宋体"/>
                      <w:color w:val="auto"/>
                      <w:sz w:val="21"/>
                      <w:szCs w:val="21"/>
                      <w:highlight w:val="none"/>
                      <w:lang w:eastAsia="zh-CN"/>
                    </w:rPr>
                    <w:t>实训内容，让学生掌握短视频、直播电商运营方面的技术技能</w:t>
                  </w:r>
                  <w:r>
                    <w:rPr>
                      <w:rFonts w:hint="eastAsia" w:ascii="宋体" w:hAnsi="宋体" w:eastAsia="宋体" w:cs="宋体"/>
                      <w:color w:val="auto"/>
                      <w:sz w:val="21"/>
                      <w:szCs w:val="21"/>
                      <w:highlight w:val="none"/>
                    </w:rPr>
                    <w:t>。</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服务区域经济</w:t>
                  </w:r>
                </w:p>
              </w:tc>
            </w:tr>
            <w:tr>
              <w:tblPrEx>
                <w:tblCellMar>
                  <w:top w:w="15" w:type="dxa"/>
                  <w:left w:w="15" w:type="dxa"/>
                  <w:bottom w:w="15" w:type="dxa"/>
                  <w:right w:w="15" w:type="dxa"/>
                </w:tblCellMar>
              </w:tblPrEx>
              <w:trPr>
                <w:trHeight w:val="928" w:hRule="atLeast"/>
              </w:trPr>
              <w:tc>
                <w:tcPr>
                  <w:tcW w:w="618"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230" w:type="dxa"/>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p>
              </w:tc>
              <w:tc>
                <w:tcPr>
                  <w:tcW w:w="121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新零售中心</w:t>
                  </w:r>
                </w:p>
              </w:tc>
              <w:tc>
                <w:tcPr>
                  <w:tcW w:w="4069"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开展市场营销、新媒体营销、直播运营等课程，让学生掌握新零售专业技能。</w:t>
                  </w:r>
                </w:p>
              </w:tc>
              <w:tc>
                <w:tcPr>
                  <w:tcW w:w="14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outlineLvl w:val="9"/>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服务区域经济</w:t>
                  </w:r>
                </w:p>
              </w:tc>
            </w:tr>
          </w:tbl>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outlineLvl w:val="9"/>
              <w:rPr>
                <w:rFonts w:hint="eastAsia" w:ascii="宋体" w:hAnsi="宋体" w:eastAsia="宋体" w:cs="宋体"/>
                <w:sz w:val="21"/>
                <w:szCs w:val="21"/>
                <w:highlight w:val="none"/>
                <w:lang w:val="en-US" w:eastAsia="zh-CN"/>
              </w:rPr>
            </w:pP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学院选取覆盖新疆“一核两区”的典型企业作为校外实习基地，与浙江菜鸟供应链管理有限公司（西北大区）、中国供销集团中亚金谷国际物流园、奎屯保税物流中心、新疆天顺供应链集团公司等企业共建16个校外实习基地，完全满足了学生校外实习实训的要求。（见表2）</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rPr>
              <w:t>表2</w:t>
            </w:r>
            <w:r>
              <w:rPr>
                <w:rFonts w:hint="eastAsia" w:ascii="宋体" w:hAnsi="宋体" w:cs="宋体"/>
                <w:b w:val="0"/>
                <w:bCs w:val="0"/>
                <w:color w:val="auto"/>
                <w:sz w:val="24"/>
                <w:szCs w:val="24"/>
                <w:highlight w:val="none"/>
                <w:lang w:val="en-US" w:eastAsia="zh-CN"/>
              </w:rPr>
              <w:t xml:space="preserve"> </w:t>
            </w:r>
            <w:r>
              <w:rPr>
                <w:rFonts w:hint="eastAsia" w:ascii="宋体" w:hAnsi="宋体" w:eastAsia="宋体" w:cs="宋体"/>
                <w:b w:val="0"/>
                <w:bCs w:val="0"/>
                <w:color w:val="auto"/>
                <w:sz w:val="24"/>
                <w:szCs w:val="24"/>
                <w:highlight w:val="none"/>
              </w:rPr>
              <w:t>校外实习基地表</w:t>
            </w:r>
          </w:p>
          <w:tbl>
            <w:tblPr>
              <w:tblStyle w:val="19"/>
              <w:tblW w:w="8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7"/>
              <w:gridCol w:w="5796"/>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b/>
                      <w:bCs w:val="0"/>
                      <w:color w:val="auto"/>
                      <w:sz w:val="21"/>
                      <w:szCs w:val="21"/>
                      <w:highlight w:val="none"/>
                    </w:rPr>
                  </w:pPr>
                  <w:r>
                    <w:rPr>
                      <w:rFonts w:hint="eastAsia" w:ascii="宋体" w:hAnsi="宋体" w:eastAsia="宋体" w:cs="宋体"/>
                      <w:b/>
                      <w:bCs w:val="0"/>
                      <w:color w:val="auto"/>
                      <w:sz w:val="21"/>
                      <w:szCs w:val="21"/>
                      <w:highlight w:val="none"/>
                    </w:rPr>
                    <w:t>序号</w:t>
                  </w:r>
                </w:p>
              </w:tc>
              <w:tc>
                <w:tcPr>
                  <w:tcW w:w="5796"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b/>
                      <w:bCs w:val="0"/>
                      <w:sz w:val="21"/>
                      <w:szCs w:val="21"/>
                      <w:highlight w:val="none"/>
                    </w:rPr>
                  </w:pPr>
                  <w:r>
                    <w:rPr>
                      <w:rFonts w:hint="eastAsia" w:ascii="宋体" w:hAnsi="宋体" w:eastAsia="宋体" w:cs="宋体"/>
                      <w:b/>
                      <w:bCs w:val="0"/>
                      <w:sz w:val="21"/>
                      <w:szCs w:val="21"/>
                      <w:highlight w:val="none"/>
                      <w:lang w:val="en-US" w:eastAsia="zh-CN"/>
                    </w:rPr>
                    <w:t>校外</w:t>
                  </w:r>
                  <w:r>
                    <w:rPr>
                      <w:rFonts w:hint="eastAsia" w:ascii="宋体" w:hAnsi="宋体" w:eastAsia="宋体" w:cs="宋体"/>
                      <w:b/>
                      <w:bCs w:val="0"/>
                      <w:sz w:val="21"/>
                      <w:szCs w:val="21"/>
                      <w:highlight w:val="none"/>
                    </w:rPr>
                    <w:t>实习实训基地名称</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b/>
                      <w:bCs w:val="0"/>
                      <w:color w:val="auto"/>
                      <w:sz w:val="21"/>
                      <w:szCs w:val="21"/>
                      <w:highlight w:val="none"/>
                      <w:lang w:val="en-US" w:eastAsia="zh-CN"/>
                    </w:rPr>
                  </w:pPr>
                  <w:r>
                    <w:rPr>
                      <w:rFonts w:hint="eastAsia" w:ascii="宋体" w:hAnsi="宋体" w:eastAsia="宋体" w:cs="宋体"/>
                      <w:b/>
                      <w:bCs w:val="0"/>
                      <w:color w:val="auto"/>
                      <w:sz w:val="21"/>
                      <w:szCs w:val="21"/>
                      <w:highlight w:val="none"/>
                      <w:lang w:val="en-US" w:eastAsia="zh-CN"/>
                    </w:rPr>
                    <w:t>所在地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新疆瑞航国际货运代理有限公司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lang w:val="en-US" w:eastAsia="zh-CN"/>
                    </w:rPr>
                    <w:t>新疆奎屯瑞豪电商产业园</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color w:val="auto"/>
                      <w:sz w:val="21"/>
                      <w:szCs w:val="21"/>
                      <w:highlight w:val="none"/>
                      <w:lang w:val="en-US" w:eastAsia="zh-CN"/>
                    </w:rPr>
                    <w:t>浙江驿栈网络科技有限公司实</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新疆丝路通物流有限公司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乌鲁木齐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新九物流</w:t>
                  </w:r>
                  <w:r>
                    <w:rPr>
                      <w:rFonts w:hint="eastAsia"/>
                      <w:sz w:val="21"/>
                      <w:szCs w:val="21"/>
                      <w:lang w:eastAsia="zh-CN"/>
                    </w:rPr>
                    <w:t>有限责任公司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阿克苏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奎屯新亚科工贸有限公司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喀什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伊犁国瑞会计税务事务所</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奎屯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奎屯九州通医药公司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奎屯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5796" w:type="dxa"/>
                  <w:noWrap w:val="0"/>
                  <w:vAlign w:val="center"/>
                </w:tcPr>
                <w:p>
                  <w:pPr>
                    <w:widowControl/>
                    <w:jc w:val="center"/>
                    <w:outlineLvl w:val="9"/>
                    <w:rPr>
                      <w:rFonts w:hint="eastAsia" w:ascii="宋体" w:hAnsi="宋体" w:eastAsia="宋体" w:cs="宋体"/>
                      <w:sz w:val="21"/>
                      <w:szCs w:val="21"/>
                      <w:highlight w:val="none"/>
                      <w:lang w:val="en-US" w:eastAsia="zh-CN"/>
                    </w:rPr>
                  </w:pPr>
                  <w:r>
                    <w:rPr>
                      <w:rFonts w:hint="eastAsia"/>
                      <w:sz w:val="21"/>
                      <w:szCs w:val="21"/>
                    </w:rPr>
                    <w:t>1号阿拉山口报关行</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霍尔果斯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5796" w:type="dxa"/>
                  <w:noWrap w:val="0"/>
                  <w:vAlign w:val="center"/>
                </w:tcPr>
                <w:p>
                  <w:pPr>
                    <w:widowControl/>
                    <w:jc w:val="center"/>
                    <w:outlineLvl w:val="9"/>
                    <w:rPr>
                      <w:rFonts w:hint="eastAsia" w:ascii="宋体" w:hAnsi="宋体" w:eastAsia="宋体" w:cs="宋体"/>
                      <w:sz w:val="21"/>
                      <w:szCs w:val="21"/>
                      <w:highlight w:val="none"/>
                      <w:lang w:val="en-US" w:eastAsia="zh-CN"/>
                    </w:rPr>
                  </w:pPr>
                  <w:r>
                    <w:rPr>
                      <w:rFonts w:hint="eastAsia"/>
                      <w:sz w:val="21"/>
                      <w:szCs w:val="21"/>
                    </w:rPr>
                    <w:t>霍尔果斯国际物流中心</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霍尔果斯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exact"/>
              </w:trPr>
              <w:tc>
                <w:tcPr>
                  <w:tcW w:w="927"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5796" w:type="dxa"/>
                  <w:noWrap w:val="0"/>
                  <w:vAlign w:val="center"/>
                </w:tcPr>
                <w:p>
                  <w:pPr>
                    <w:widowControl/>
                    <w:jc w:val="center"/>
                    <w:outlineLvl w:val="9"/>
                    <w:rPr>
                      <w:rFonts w:hint="eastAsia" w:ascii="宋体" w:hAnsi="宋体" w:eastAsia="宋体" w:cs="宋体"/>
                      <w:sz w:val="21"/>
                      <w:szCs w:val="21"/>
                      <w:highlight w:val="none"/>
                      <w:lang w:val="zh-CN" w:eastAsia="zh-CN"/>
                    </w:rPr>
                  </w:pPr>
                  <w:r>
                    <w:rPr>
                      <w:rFonts w:hint="eastAsia"/>
                      <w:sz w:val="21"/>
                      <w:szCs w:val="21"/>
                    </w:rPr>
                    <w:t>伊犁州龙华进出口贸易有限公司</w:t>
                  </w:r>
                </w:p>
              </w:tc>
              <w:tc>
                <w:tcPr>
                  <w:tcW w:w="2095" w:type="dxa"/>
                  <w:noWrap w:val="0"/>
                  <w:vAlign w:val="center"/>
                </w:tcPr>
                <w:p>
                  <w:pPr>
                    <w:pStyle w:val="23"/>
                    <w:keepNext w:val="0"/>
                    <w:keepLines w:val="0"/>
                    <w:pageBreakBefore w:val="0"/>
                    <w:kinsoku/>
                    <w:wordWrap/>
                    <w:overflowPunct/>
                    <w:topLinePunct w:val="0"/>
                    <w:autoSpaceDE/>
                    <w:autoSpaceDN/>
                    <w:bidi w:val="0"/>
                    <w:spacing w:line="360" w:lineRule="auto"/>
                    <w:jc w:val="center"/>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奎屯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（三）优化专业设置与产业发展匹配度的迫切需求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经调查目前新疆地区仅有伊犁师范大学和博尔塔拉职业技术学院开设了跨境电子商务专业，这种局面远远不能满足新疆跨境电商产业技术人员实际的需要。按照职业教育专业的设置必须和市场的需求相结合，为了学校的长远发展，为满足今后信息技术市场的需求和拓宽学校的专业面、就业面，学院在开设移动商务相关专业的基础上申报跨境电子商务专业可有效弥补全疆跨境电子商务专业开设率较低的现状。（见表3）</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line="360" w:lineRule="auto"/>
              <w:ind w:left="0" w:right="0"/>
              <w:jc w:val="center"/>
              <w:outlineLvl w:val="9"/>
              <w:rPr>
                <w:rFonts w:hint="eastAsia" w:ascii="宋体" w:hAnsi="宋体" w:eastAsia="宋体" w:cs="宋体"/>
                <w:b w:val="0"/>
                <w:bCs/>
                <w:sz w:val="21"/>
                <w:szCs w:val="21"/>
                <w:highlight w:val="none"/>
              </w:rPr>
            </w:pPr>
            <w:r>
              <w:rPr>
                <w:rStyle w:val="15"/>
                <w:rFonts w:hint="eastAsia" w:ascii="宋体" w:hAnsi="宋体" w:cs="宋体"/>
                <w:b w:val="0"/>
                <w:bCs/>
                <w:sz w:val="21"/>
                <w:szCs w:val="21"/>
                <w:highlight w:val="none"/>
                <w:lang w:val="en-US" w:eastAsia="zh-CN"/>
              </w:rPr>
              <w:t xml:space="preserve">    </w:t>
            </w:r>
            <w:bookmarkStart w:id="18" w:name="_GoBack"/>
            <w:bookmarkEnd w:id="18"/>
            <w:r>
              <w:rPr>
                <w:rStyle w:val="15"/>
                <w:rFonts w:hint="eastAsia" w:ascii="宋体" w:hAnsi="宋体" w:eastAsia="宋体" w:cs="宋体"/>
                <w:b w:val="0"/>
                <w:bCs/>
                <w:sz w:val="21"/>
                <w:szCs w:val="21"/>
                <w:highlight w:val="none"/>
              </w:rPr>
              <w:t>表</w:t>
            </w:r>
            <w:r>
              <w:rPr>
                <w:rStyle w:val="15"/>
                <w:rFonts w:hint="eastAsia" w:ascii="宋体" w:hAnsi="宋体" w:eastAsia="宋体" w:cs="宋体"/>
                <w:b w:val="0"/>
                <w:bCs/>
                <w:sz w:val="21"/>
                <w:szCs w:val="21"/>
                <w:highlight w:val="none"/>
                <w:lang w:val="en-US" w:eastAsia="zh-CN"/>
              </w:rPr>
              <w:t>3</w:t>
            </w:r>
            <w:r>
              <w:rPr>
                <w:rStyle w:val="15"/>
                <w:rFonts w:hint="eastAsia" w:ascii="宋体" w:hAnsi="宋体" w:cs="宋体"/>
                <w:b w:val="0"/>
                <w:bCs/>
                <w:sz w:val="21"/>
                <w:szCs w:val="21"/>
                <w:highlight w:val="none"/>
                <w:lang w:val="en-US" w:eastAsia="zh-CN"/>
              </w:rPr>
              <w:t xml:space="preserve"> </w:t>
            </w:r>
            <w:r>
              <w:rPr>
                <w:rStyle w:val="15"/>
                <w:rFonts w:hint="eastAsia" w:ascii="宋体" w:hAnsi="宋体" w:eastAsia="宋体" w:cs="宋体"/>
                <w:b w:val="0"/>
                <w:bCs/>
                <w:sz w:val="21"/>
                <w:szCs w:val="21"/>
                <w:highlight w:val="none"/>
              </w:rPr>
              <w:t>2023年高职专科电子商务类专业布点数量增长情况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b/>
                <w:bCs/>
                <w:sz w:val="24"/>
                <w:szCs w:val="24"/>
                <w:highlight w:val="none"/>
              </w:rPr>
            </w:pPr>
            <w:r>
              <w:rPr>
                <w:rFonts w:ascii="宋体" w:hAnsi="宋体" w:eastAsia="宋体" w:cs="宋体"/>
                <w:sz w:val="24"/>
                <w:szCs w:val="24"/>
                <w:highlight w:val="none"/>
              </w:rPr>
              <w:drawing>
                <wp:inline distT="0" distB="0" distL="114300" distR="114300">
                  <wp:extent cx="3312160" cy="2247265"/>
                  <wp:effectExtent l="0" t="0" r="2540" b="635"/>
                  <wp:docPr id="2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IMG_256"/>
                          <pic:cNvPicPr>
                            <a:picLocks noChangeAspect="1"/>
                          </pic:cNvPicPr>
                        </pic:nvPicPr>
                        <pic:blipFill>
                          <a:blip r:embed="rId5"/>
                          <a:stretch>
                            <a:fillRect/>
                          </a:stretch>
                        </pic:blipFill>
                        <pic:spPr>
                          <a:xfrm>
                            <a:off x="0" y="0"/>
                            <a:ext cx="3312160" cy="22472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数据来源：2023年高等职业教育专业设置备案结果</w:t>
            </w:r>
          </w:p>
          <w:p>
            <w:pPr>
              <w:keepNext w:val="0"/>
              <w:keepLines w:val="0"/>
              <w:pageBreakBefore w:val="0"/>
              <w:kinsoku/>
              <w:wordWrap/>
              <w:overflowPunct/>
              <w:topLinePunct w:val="0"/>
              <w:autoSpaceDE/>
              <w:autoSpaceDN/>
              <w:bidi w:val="0"/>
              <w:spacing w:line="360" w:lineRule="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三、结论</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伊犁州作为我国向西开放的桥头堡</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发展跨境电商的</w:t>
            </w:r>
            <w:r>
              <w:rPr>
                <w:rFonts w:hint="default" w:ascii="宋体" w:hAnsi="宋体" w:eastAsia="宋体" w:cs="宋体"/>
                <w:sz w:val="24"/>
                <w:szCs w:val="24"/>
                <w:highlight w:val="none"/>
                <w:lang w:val="en-US" w:eastAsia="zh-CN"/>
              </w:rPr>
              <w:t>区位条件、基础与资源要素禀赋</w:t>
            </w:r>
            <w:r>
              <w:rPr>
                <w:rFonts w:hint="eastAsia" w:ascii="宋体" w:hAnsi="宋体" w:eastAsia="宋体" w:cs="宋体"/>
                <w:sz w:val="24"/>
                <w:szCs w:val="24"/>
                <w:highlight w:val="none"/>
                <w:lang w:val="en-US" w:eastAsia="zh-CN"/>
              </w:rPr>
              <w:t>得天独厚</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从</w:t>
            </w:r>
            <w:r>
              <w:rPr>
                <w:rFonts w:hint="default" w:ascii="宋体" w:hAnsi="宋体" w:eastAsia="宋体" w:cs="宋体"/>
                <w:sz w:val="24"/>
                <w:szCs w:val="24"/>
                <w:highlight w:val="none"/>
                <w:lang w:val="en-US" w:eastAsia="zh-CN"/>
              </w:rPr>
              <w:t>国家</w:t>
            </w:r>
            <w:r>
              <w:rPr>
                <w:rFonts w:hint="eastAsia" w:ascii="宋体" w:hAnsi="宋体" w:eastAsia="宋体" w:cs="宋体"/>
                <w:sz w:val="24"/>
                <w:szCs w:val="24"/>
                <w:highlight w:val="none"/>
                <w:lang w:val="en-US" w:eastAsia="zh-CN"/>
              </w:rPr>
              <w:t>到</w:t>
            </w:r>
            <w:r>
              <w:rPr>
                <w:rFonts w:hint="default" w:ascii="宋体" w:hAnsi="宋体" w:eastAsia="宋体" w:cs="宋体"/>
                <w:sz w:val="24"/>
                <w:szCs w:val="24"/>
                <w:highlight w:val="none"/>
                <w:lang w:val="en-US" w:eastAsia="zh-CN"/>
              </w:rPr>
              <w:t>自治区高度重视跨境电商产业的发展政策</w:t>
            </w:r>
            <w:r>
              <w:rPr>
                <w:rFonts w:hint="eastAsia" w:ascii="宋体" w:hAnsi="宋体" w:eastAsia="宋体" w:cs="宋体"/>
                <w:sz w:val="24"/>
                <w:szCs w:val="24"/>
                <w:highlight w:val="none"/>
                <w:lang w:val="en-US" w:eastAsia="zh-CN"/>
              </w:rPr>
              <w:t>优势明显</w:t>
            </w:r>
            <w:r>
              <w:rPr>
                <w:rFonts w:hint="default" w:ascii="宋体" w:hAnsi="宋体" w:eastAsia="宋体" w:cs="宋体"/>
                <w:sz w:val="24"/>
                <w:szCs w:val="24"/>
                <w:highlight w:val="none"/>
                <w:lang w:val="en-US" w:eastAsia="zh-CN"/>
              </w:rPr>
              <w:t>。</w:t>
            </w:r>
            <w:r>
              <w:rPr>
                <w:rFonts w:hint="eastAsia" w:ascii="宋体" w:hAnsi="宋体" w:eastAsia="宋体" w:cs="宋体"/>
                <w:sz w:val="24"/>
                <w:szCs w:val="24"/>
                <w:highlight w:val="none"/>
                <w:lang w:val="en-US" w:eastAsia="zh-CN"/>
              </w:rPr>
              <w:t>增设</w:t>
            </w:r>
            <w:r>
              <w:rPr>
                <w:rFonts w:hint="default" w:ascii="宋体" w:hAnsi="宋体" w:eastAsia="宋体" w:cs="宋体"/>
                <w:sz w:val="24"/>
                <w:szCs w:val="24"/>
                <w:highlight w:val="none"/>
                <w:lang w:val="en-US" w:eastAsia="zh-CN"/>
              </w:rPr>
              <w:t>跨境电子商务专业，符合我校应用型、技能型人才的建设特点，将为新疆社会经济发展</w:t>
            </w:r>
            <w:r>
              <w:rPr>
                <w:rFonts w:hint="eastAsia" w:ascii="宋体" w:hAnsi="宋体" w:eastAsia="宋体" w:cs="宋体"/>
                <w:sz w:val="24"/>
                <w:szCs w:val="24"/>
                <w:highlight w:val="none"/>
                <w:lang w:val="en-US" w:eastAsia="zh-CN"/>
              </w:rPr>
              <w:t>高质量发展</w:t>
            </w:r>
            <w:r>
              <w:rPr>
                <w:rFonts w:hint="default" w:ascii="宋体" w:hAnsi="宋体" w:eastAsia="宋体" w:cs="宋体"/>
                <w:sz w:val="24"/>
                <w:szCs w:val="24"/>
                <w:highlight w:val="none"/>
                <w:lang w:val="en-US" w:eastAsia="zh-CN"/>
              </w:rPr>
              <w:t>贡献力量。</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目前，学院已完成人才培养方案及核心课程的编制,公共课和专业课师资已基本配齐，教学硬件设施（教室、宿舍、实训室、图书资料等）已基本落实，现具备申办高职跨境电子商务专业的条件。在办学条件、师资力量、校企合作等方面达到高职跨境电子商务专业开设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综上所述，跨境电子商务专业正是区域经济建设、社会民生发展所急需专业。紧贴市场、紧贴产业、紧贴职业增设跨境电子商务专业，是适应产业结构调整升级变化，增强职业教育适应性和吸引力的重要举措。申报跨境电子商务专业十分必要，非常可行。</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hint="eastAsia" w:ascii="黑体" w:hAnsi="黑体" w:eastAsia="黑体" w:cs="黑体"/>
                <w:b/>
                <w:bCs/>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学校专业发展规划</w:t>
            </w:r>
            <w:r>
              <w:rPr>
                <w:rFonts w:hint="eastAsia" w:ascii="黑体" w:hAnsi="黑体" w:eastAsia="黑体" w:cs="黑体"/>
                <w:b/>
                <w:bCs/>
                <w:sz w:val="28"/>
                <w:szCs w:val="28"/>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一、专业建设规划依据</w:t>
            </w:r>
          </w:p>
          <w:p>
            <w:pPr>
              <w:keepNext w:val="0"/>
              <w:keepLines w:val="0"/>
              <w:pageBreakBefore w:val="0"/>
              <w:widowControl w:val="0"/>
              <w:kinsoku/>
              <w:wordWrap/>
              <w:overflowPunct/>
              <w:topLinePunct w:val="0"/>
              <w:autoSpaceDE/>
              <w:autoSpaceDN/>
              <w:bidi w:val="0"/>
              <w:adjustRightInd w:val="0"/>
              <w:snapToGrid w:val="0"/>
              <w:spacing w:line="360" w:lineRule="auto"/>
              <w:ind w:firstLine="460" w:firstLineChars="200"/>
              <w:textAlignment w:val="auto"/>
              <w:rPr>
                <w:rFonts w:hint="eastAsia" w:ascii="宋体" w:hAnsi="宋体" w:eastAsia="宋体" w:cs="宋体"/>
                <w:color w:val="auto"/>
                <w:spacing w:val="1"/>
                <w:sz w:val="24"/>
                <w:szCs w:val="24"/>
                <w:highlight w:val="none"/>
                <w:lang w:eastAsia="zh-CN"/>
              </w:rPr>
            </w:pPr>
            <w:r>
              <w:rPr>
                <w:rFonts w:ascii="宋体" w:hAnsi="宋体" w:eastAsia="宋体" w:cs="宋体"/>
                <w:color w:val="auto"/>
                <w:spacing w:val="-5"/>
                <w:sz w:val="24"/>
                <w:szCs w:val="24"/>
                <w:highlight w:val="none"/>
              </w:rPr>
              <w:t>为落实《关于加快发展现代职业教育的决定》、《国家职业教育</w:t>
            </w:r>
            <w:r>
              <w:rPr>
                <w:rFonts w:ascii="宋体" w:hAnsi="宋体" w:eastAsia="宋体" w:cs="宋体"/>
                <w:color w:val="auto"/>
                <w:spacing w:val="-6"/>
                <w:sz w:val="24"/>
                <w:szCs w:val="24"/>
                <w:highlight w:val="none"/>
              </w:rPr>
              <w:t>改革实施方案》、《关</w:t>
            </w:r>
            <w:r>
              <w:rPr>
                <w:rFonts w:ascii="宋体" w:hAnsi="宋体" w:eastAsia="宋体" w:cs="宋体"/>
                <w:color w:val="auto"/>
                <w:sz w:val="24"/>
                <w:szCs w:val="24"/>
                <w:highlight w:val="none"/>
              </w:rPr>
              <w:t>于推动现代化职业教育高质量发展的意见》、以及2022版《中华</w:t>
            </w:r>
            <w:r>
              <w:rPr>
                <w:rFonts w:ascii="宋体" w:hAnsi="宋体" w:eastAsia="宋体" w:cs="宋体"/>
                <w:color w:val="auto"/>
                <w:spacing w:val="-1"/>
                <w:sz w:val="24"/>
                <w:szCs w:val="24"/>
                <w:highlight w:val="none"/>
              </w:rPr>
              <w:t>人民共和国职业教育法》</w:t>
            </w:r>
            <w:r>
              <w:rPr>
                <w:rFonts w:ascii="宋体" w:hAnsi="宋体" w:eastAsia="宋体" w:cs="宋体"/>
                <w:color w:val="auto"/>
                <w:spacing w:val="1"/>
                <w:sz w:val="24"/>
                <w:szCs w:val="24"/>
                <w:highlight w:val="none"/>
              </w:rPr>
              <w:t>相关要求，提高专业办学水平和人才培养质量</w:t>
            </w:r>
            <w:r>
              <w:rPr>
                <w:rFonts w:hint="eastAsia" w:ascii="宋体" w:hAnsi="宋体" w:eastAsia="宋体" w:cs="宋体"/>
                <w:color w:val="auto"/>
                <w:spacing w:val="1"/>
                <w:sz w:val="24"/>
                <w:szCs w:val="24"/>
                <w:highlight w:val="none"/>
                <w:lang w:eastAsia="zh-CN"/>
              </w:rPr>
              <w:t>。</w:t>
            </w:r>
            <w:r>
              <w:rPr>
                <w:rFonts w:hint="eastAsia" w:ascii="宋体" w:hAnsi="宋体" w:eastAsia="宋体" w:cs="宋体"/>
                <w:i w:val="0"/>
                <w:iCs w:val="0"/>
                <w:caps w:val="0"/>
                <w:color w:val="auto"/>
                <w:spacing w:val="0"/>
                <w:sz w:val="24"/>
                <w:szCs w:val="24"/>
                <w:highlight w:val="none"/>
                <w:shd w:val="clear" w:color="auto" w:fill="FFFFFF"/>
              </w:rPr>
              <w:t>经过几年</w:t>
            </w:r>
            <w:r>
              <w:rPr>
                <w:rFonts w:hint="default" w:ascii="宋体" w:hAnsi="宋体" w:eastAsia="宋体" w:cs="宋体"/>
                <w:i w:val="0"/>
                <w:iCs w:val="0"/>
                <w:caps w:val="0"/>
                <w:color w:val="auto"/>
                <w:spacing w:val="0"/>
                <w:sz w:val="24"/>
                <w:szCs w:val="24"/>
                <w:highlight w:val="none"/>
                <w:shd w:val="clear" w:color="auto" w:fill="FFFFFF"/>
              </w:rPr>
              <w:t>跨境电商综合试验区</w:t>
            </w:r>
            <w:r>
              <w:rPr>
                <w:rFonts w:hint="eastAsia" w:ascii="宋体" w:hAnsi="宋体" w:eastAsia="宋体" w:cs="宋体"/>
                <w:i w:val="0"/>
                <w:iCs w:val="0"/>
                <w:caps w:val="0"/>
                <w:color w:val="auto"/>
                <w:spacing w:val="0"/>
                <w:sz w:val="24"/>
                <w:szCs w:val="24"/>
                <w:highlight w:val="none"/>
                <w:shd w:val="clear" w:color="auto" w:fill="FFFFFF"/>
              </w:rPr>
              <w:t>试点探索，跨境电商零售进口政策体系不断完善，在丰富国内市场供给、带动相关行业发展、更好满足人民美好生活需要等方面取得积极成效</w:t>
            </w:r>
            <w:r>
              <w:rPr>
                <w:rFonts w:hint="eastAsia" w:ascii="宋体" w:hAnsi="宋体" w:eastAsia="宋体" w:cs="宋体"/>
                <w:i w:val="0"/>
                <w:iCs w:val="0"/>
                <w:caps w:val="0"/>
                <w:color w:val="auto"/>
                <w:spacing w:val="0"/>
                <w:sz w:val="24"/>
                <w:szCs w:val="24"/>
                <w:highlight w:val="none"/>
                <w:shd w:val="clear" w:color="auto" w:fill="FFFFFF"/>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按照职业教育专业的设置必须和市场的需求相结合，为了学校的长远发展，开设跨境电子商务专业，满足今后信息技术市场的需求和拓宽学校的专业面、就业面，加快学校专业结构调整，优化学校的专业技能水平。</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二、总体目标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以习近平新时代中国特色社会主义思想为指导，深刻领会国务院办公厅下的《国常会：扩大跨境电商综合试验区试点范围，推动外贸升级</w:t>
            </w:r>
            <w:r>
              <w:rPr>
                <w:rFonts w:hint="eastAsia" w:ascii="宋体" w:hAnsi="宋体" w:eastAsia="宋体" w:cs="宋体"/>
                <w:sz w:val="24"/>
                <w:szCs w:val="32"/>
                <w:highlight w:val="none"/>
              </w:rPr>
              <w:t>》等文件对充分认识</w:t>
            </w:r>
            <w:r>
              <w:rPr>
                <w:rFonts w:hint="eastAsia" w:ascii="宋体" w:hAnsi="宋体" w:eastAsia="宋体" w:cs="宋体"/>
                <w:sz w:val="24"/>
                <w:szCs w:val="32"/>
                <w:highlight w:val="none"/>
                <w:lang w:val="en-US" w:eastAsia="zh-CN"/>
              </w:rPr>
              <w:t>跨境电商</w:t>
            </w:r>
            <w:r>
              <w:rPr>
                <w:rFonts w:hint="eastAsia" w:ascii="宋体" w:hAnsi="宋体" w:eastAsia="宋体" w:cs="宋体"/>
                <w:sz w:val="24"/>
                <w:szCs w:val="32"/>
                <w:highlight w:val="none"/>
              </w:rPr>
              <w:t>在现代经济体系中的重要地位和作用，</w:t>
            </w:r>
            <w:r>
              <w:rPr>
                <w:rFonts w:hint="eastAsia" w:ascii="宋体" w:hAnsi="宋体" w:eastAsia="宋体" w:cs="宋体"/>
                <w:sz w:val="24"/>
                <w:szCs w:val="32"/>
                <w:highlight w:val="none"/>
                <w:lang w:val="en-US" w:eastAsia="zh-CN"/>
              </w:rPr>
              <w:t>不断增设</w:t>
            </w:r>
            <w:r>
              <w:rPr>
                <w:rFonts w:hint="default" w:ascii="宋体" w:hAnsi="宋体" w:eastAsia="宋体" w:cs="宋体"/>
                <w:sz w:val="24"/>
                <w:szCs w:val="32"/>
                <w:highlight w:val="none"/>
              </w:rPr>
              <w:t>跨境电商综合试验区，就是要通过加强各综试区的体系建设、平台建设、特色建设，支持跨境电商综试区企业汇集境内境外流通要素，引导企业重新配置、整合、提升渠道资源，根据跨境电子商务发展规律和市场需求，从供应链、价值链和资源链上构建跨境电子商务综合服务体系，形成各综试区规范发展、创新发展的局面，带动中国跨境电商持续创新，走向高质量发展，从而为全球经济持续、健康发展注入新动能。</w:t>
            </w:r>
            <w:r>
              <w:rPr>
                <w:rFonts w:hint="eastAsia" w:ascii="宋体" w:hAnsi="宋体" w:eastAsia="宋体" w:cs="宋体"/>
                <w:sz w:val="24"/>
                <w:szCs w:val="32"/>
                <w:highlight w:val="none"/>
                <w:lang w:val="en-US" w:eastAsia="zh-CN"/>
              </w:rPr>
              <w:t>增设跨境电子商务新专业就是对接国家政策、</w:t>
            </w:r>
            <w:r>
              <w:rPr>
                <w:rFonts w:hint="eastAsia" w:ascii="宋体" w:hAnsi="宋体" w:eastAsia="宋体" w:cs="宋体"/>
                <w:sz w:val="24"/>
                <w:szCs w:val="32"/>
                <w:highlight w:val="none"/>
              </w:rPr>
              <w:t>围绕丝绸之路经济带新疆核心区建设要求，</w:t>
            </w:r>
            <w:r>
              <w:rPr>
                <w:rFonts w:hint="eastAsia" w:ascii="宋体" w:hAnsi="宋体" w:eastAsia="宋体" w:cs="宋体"/>
                <w:sz w:val="24"/>
                <w:szCs w:val="32"/>
                <w:highlight w:val="none"/>
                <w:lang w:val="en-US" w:eastAsia="zh-CN"/>
              </w:rPr>
              <w:t>依托伊犁哈萨克自治州跨境电商综合试验区，</w:t>
            </w:r>
            <w:r>
              <w:rPr>
                <w:rFonts w:hint="eastAsia" w:ascii="宋体" w:hAnsi="宋体" w:eastAsia="宋体" w:cs="宋体"/>
                <w:sz w:val="24"/>
                <w:szCs w:val="32"/>
                <w:highlight w:val="none"/>
              </w:rPr>
              <w:t>立足奎屯（商贸物流中心城市），服务新疆，辐射丝绸之路沿线国家和地</w:t>
            </w:r>
            <w:r>
              <w:rPr>
                <w:rFonts w:hint="eastAsia" w:ascii="宋体" w:hAnsi="宋体" w:eastAsia="宋体" w:cs="宋体"/>
                <w:color w:val="auto"/>
                <w:sz w:val="24"/>
                <w:szCs w:val="32"/>
                <w:highlight w:val="none"/>
              </w:rPr>
              <w:t>区</w:t>
            </w:r>
            <w:r>
              <w:rPr>
                <w:rFonts w:hint="eastAsia" w:ascii="宋体" w:hAnsi="宋体" w:eastAsia="宋体" w:cs="宋体"/>
                <w:color w:val="auto"/>
                <w:sz w:val="24"/>
                <w:szCs w:val="32"/>
                <w:highlight w:val="none"/>
                <w:lang w:eastAsia="zh-CN"/>
              </w:rPr>
              <w:t>，</w:t>
            </w:r>
            <w:r>
              <w:rPr>
                <w:rFonts w:hint="eastAsia" w:ascii="宋体" w:hAnsi="宋体" w:eastAsia="宋体" w:cs="宋体"/>
                <w:color w:val="auto"/>
                <w:sz w:val="24"/>
                <w:szCs w:val="32"/>
                <w:highlight w:val="none"/>
                <w:lang w:val="en-US" w:eastAsia="zh-CN"/>
              </w:rPr>
              <w:t>培养跨境电商</w:t>
            </w:r>
            <w:r>
              <w:rPr>
                <w:rFonts w:hint="eastAsia" w:ascii="宋体" w:hAnsi="宋体" w:eastAsia="宋体" w:cs="宋体"/>
                <w:sz w:val="24"/>
                <w:szCs w:val="32"/>
                <w:highlight w:val="none"/>
              </w:rPr>
              <w:t>发展所需的</w:t>
            </w:r>
            <w:r>
              <w:rPr>
                <w:rFonts w:hint="eastAsia" w:ascii="宋体" w:hAnsi="宋体" w:eastAsia="宋体" w:cs="宋体"/>
                <w:sz w:val="24"/>
                <w:szCs w:val="32"/>
                <w:highlight w:val="none"/>
                <w:lang w:val="en-US" w:eastAsia="zh-CN"/>
              </w:rPr>
              <w:t>能够从事跨境电商店铺运营、视觉营销设计、海外推广、跨境电商数据分析、跨境电商客户服务及跨境物流管理等工作的</w:t>
            </w:r>
            <w:r>
              <w:rPr>
                <w:rFonts w:hint="eastAsia" w:ascii="宋体" w:hAnsi="宋体" w:eastAsia="宋体" w:cs="宋体"/>
                <w:sz w:val="24"/>
                <w:szCs w:val="32"/>
                <w:highlight w:val="none"/>
              </w:rPr>
              <w:t>高素质技术技能人才。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sz w:val="24"/>
                <w:szCs w:val="32"/>
                <w:highlight w:val="none"/>
              </w:rPr>
              <w:t>通过专业规划对人才培养引领，将职业能力岗位技术标准融入课程标准，重构</w:t>
            </w:r>
            <w:r>
              <w:rPr>
                <w:rFonts w:hint="eastAsia" w:ascii="宋体" w:hAnsi="宋体" w:eastAsia="宋体" w:cs="宋体"/>
                <w:color w:val="auto"/>
                <w:sz w:val="24"/>
                <w:szCs w:val="32"/>
                <w:highlight w:val="none"/>
              </w:rPr>
              <w:t>“底层可共享、中层可融合、上层可互选”的专业课程体系，实施混合式教学模式改革；</w:t>
            </w:r>
            <w:r>
              <w:rPr>
                <w:rFonts w:hint="eastAsia" w:ascii="宋体" w:hAnsi="宋体" w:eastAsia="宋体" w:cs="宋体"/>
                <w:sz w:val="24"/>
                <w:szCs w:val="32"/>
                <w:highlight w:val="none"/>
              </w:rPr>
              <w:t>深化产教融合，打造“校企行”多方参与的</w:t>
            </w:r>
            <w:r>
              <w:rPr>
                <w:rFonts w:hint="eastAsia" w:ascii="宋体" w:hAnsi="宋体" w:eastAsia="宋体" w:cs="宋体"/>
                <w:sz w:val="24"/>
                <w:szCs w:val="32"/>
                <w:highlight w:val="none"/>
                <w:lang w:val="en-US" w:eastAsia="zh-CN"/>
              </w:rPr>
              <w:t>跨境电商</w:t>
            </w:r>
            <w:r>
              <w:rPr>
                <w:rFonts w:hint="eastAsia" w:ascii="宋体" w:hAnsi="宋体" w:eastAsia="宋体" w:cs="宋体"/>
                <w:color w:val="auto"/>
                <w:sz w:val="24"/>
                <w:szCs w:val="32"/>
                <w:highlight w:val="none"/>
              </w:rPr>
              <w:t>产业学院</w:t>
            </w:r>
            <w:r>
              <w:rPr>
                <w:rFonts w:hint="eastAsia" w:ascii="宋体" w:hAnsi="宋体" w:eastAsia="宋体" w:cs="宋体"/>
                <w:sz w:val="24"/>
                <w:szCs w:val="32"/>
                <w:highlight w:val="none"/>
              </w:rPr>
              <w:t>，建设集教学、生产、</w:t>
            </w:r>
            <w:r>
              <w:rPr>
                <w:rFonts w:hint="eastAsia" w:ascii="宋体" w:hAnsi="宋体" w:eastAsia="宋体" w:cs="宋体"/>
                <w:sz w:val="24"/>
                <w:szCs w:val="32"/>
                <w:highlight w:val="none"/>
                <w:lang w:val="en-US" w:eastAsia="zh-CN"/>
              </w:rPr>
              <w:t>零售、</w:t>
            </w:r>
            <w:r>
              <w:rPr>
                <w:rFonts w:hint="eastAsia" w:ascii="宋体" w:hAnsi="宋体" w:eastAsia="宋体" w:cs="宋体"/>
                <w:sz w:val="24"/>
                <w:szCs w:val="32"/>
                <w:highlight w:val="none"/>
              </w:rPr>
              <w:t>科研、技术服务、对外培训、技能大赛、创新创业为一体的共享型实训基地，为校企合作提供多层次社会服务，</w:t>
            </w:r>
            <w:r>
              <w:rPr>
                <w:rFonts w:hint="eastAsia" w:ascii="宋体" w:hAnsi="宋体" w:eastAsia="宋体" w:cs="宋体"/>
                <w:sz w:val="24"/>
                <w:szCs w:val="32"/>
                <w:highlight w:val="none"/>
                <w:lang w:val="en-US" w:eastAsia="zh-CN"/>
              </w:rPr>
              <w:t>打造</w:t>
            </w:r>
            <w:r>
              <w:rPr>
                <w:rFonts w:hint="eastAsia" w:ascii="宋体" w:hAnsi="宋体" w:eastAsia="宋体" w:cs="宋体"/>
                <w:color w:val="auto"/>
                <w:sz w:val="24"/>
                <w:szCs w:val="32"/>
                <w:highlight w:val="none"/>
              </w:rPr>
              <w:t>跨境电商及创新创业孵化基地；以建设教师教学创新团队为目标，不断优化重组</w:t>
            </w:r>
            <w:r>
              <w:rPr>
                <w:rFonts w:hint="eastAsia" w:ascii="宋体" w:hAnsi="宋体" w:eastAsia="宋体" w:cs="宋体"/>
                <w:sz w:val="24"/>
                <w:szCs w:val="32"/>
                <w:highlight w:val="none"/>
              </w:rPr>
              <w:t>，打造名师引领、专兼结合的双师型教师团队；不断提升专业国际影响力，探索国际交流与合作模式，全面践行中国职教走出去战略，培养服务于国家“一带一路”</w:t>
            </w:r>
            <w:r>
              <w:rPr>
                <w:rFonts w:hint="eastAsia" w:ascii="宋体" w:hAnsi="宋体" w:eastAsia="宋体" w:cs="宋体"/>
                <w:color w:val="auto"/>
                <w:sz w:val="24"/>
                <w:szCs w:val="32"/>
                <w:highlight w:val="none"/>
              </w:rPr>
              <w:t>战略的跨境</w:t>
            </w:r>
            <w:r>
              <w:rPr>
                <w:rFonts w:hint="eastAsia" w:ascii="宋体" w:hAnsi="宋体" w:eastAsia="宋体" w:cs="宋体"/>
                <w:color w:val="auto"/>
                <w:sz w:val="24"/>
                <w:szCs w:val="32"/>
                <w:highlight w:val="none"/>
                <w:lang w:val="en-US" w:eastAsia="zh-CN"/>
              </w:rPr>
              <w:t>电商</w:t>
            </w:r>
            <w:r>
              <w:rPr>
                <w:rFonts w:hint="eastAsia" w:ascii="宋体" w:hAnsi="宋体" w:eastAsia="宋体" w:cs="宋体"/>
                <w:color w:val="auto"/>
                <w:sz w:val="24"/>
                <w:szCs w:val="32"/>
                <w:highlight w:val="none"/>
              </w:rPr>
              <w:t>人才。到202</w:t>
            </w:r>
            <w:r>
              <w:rPr>
                <w:rFonts w:hint="eastAsia" w:ascii="宋体" w:hAnsi="宋体" w:eastAsia="宋体" w:cs="宋体"/>
                <w:color w:val="auto"/>
                <w:sz w:val="24"/>
                <w:szCs w:val="32"/>
                <w:highlight w:val="none"/>
                <w:lang w:val="en-US" w:eastAsia="zh-CN"/>
              </w:rPr>
              <w:t>8</w:t>
            </w:r>
            <w:r>
              <w:rPr>
                <w:rFonts w:hint="eastAsia" w:ascii="宋体" w:hAnsi="宋体" w:eastAsia="宋体" w:cs="宋体"/>
                <w:color w:val="auto"/>
                <w:sz w:val="24"/>
                <w:szCs w:val="32"/>
                <w:highlight w:val="none"/>
              </w:rPr>
              <w:t>年，将</w:t>
            </w:r>
            <w:r>
              <w:rPr>
                <w:rFonts w:hint="eastAsia" w:ascii="宋体" w:hAnsi="宋体" w:eastAsia="宋体" w:cs="宋体"/>
                <w:color w:val="auto"/>
                <w:sz w:val="24"/>
                <w:szCs w:val="32"/>
                <w:highlight w:val="none"/>
                <w:lang w:eastAsia="zh-CN"/>
              </w:rPr>
              <w:t>跨境电子商务</w:t>
            </w:r>
            <w:r>
              <w:rPr>
                <w:rFonts w:hint="eastAsia" w:ascii="宋体" w:hAnsi="宋体" w:eastAsia="宋体" w:cs="宋体"/>
                <w:color w:val="auto"/>
                <w:sz w:val="24"/>
                <w:szCs w:val="32"/>
                <w:highlight w:val="none"/>
              </w:rPr>
              <w:t>专业建设成为全疆知名的高水平专业。</w: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三、建设规划分类目标</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1.人才培养模式改革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以现代物流管理专业群建设为主要依据，实际构建“五双”人才培养模式，融入专业群“底层可共享、中层可融合、上层可互选”的专业课程体系。开办</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1个现代学徒制试点班级，满足学生个性化发展需求</w:t>
            </w:r>
            <w:r>
              <w:rPr>
                <w:rFonts w:hint="eastAsia" w:ascii="宋体" w:hAnsi="宋体" w:eastAsia="宋体" w:cs="宋体"/>
                <w:sz w:val="24"/>
                <w:szCs w:val="32"/>
                <w:highlight w:val="none"/>
                <w:lang w:val="en-US" w:eastAsia="zh-CN"/>
              </w:rPr>
              <w:t>,</w:t>
            </w:r>
            <w:r>
              <w:rPr>
                <w:rFonts w:hint="eastAsia" w:ascii="宋体" w:hAnsi="宋体" w:eastAsia="宋体" w:cs="宋体"/>
                <w:sz w:val="24"/>
                <w:szCs w:val="32"/>
                <w:highlight w:val="none"/>
              </w:rPr>
              <w:t>实施1个“1+X”等级证书，与企业共同梳理</w:t>
            </w:r>
            <w:r>
              <w:rPr>
                <w:rFonts w:hint="eastAsia" w:ascii="宋体" w:hAnsi="宋体" w:eastAsia="宋体" w:cs="宋体"/>
                <w:color w:val="auto"/>
                <w:sz w:val="24"/>
                <w:szCs w:val="32"/>
                <w:highlight w:val="none"/>
                <w:lang w:val="en-US" w:eastAsia="zh-CN"/>
              </w:rPr>
              <w:t>跨境电子商务师</w:t>
            </w:r>
            <w:r>
              <w:rPr>
                <w:rFonts w:hint="eastAsia" w:ascii="宋体" w:hAnsi="宋体" w:eastAsia="宋体" w:cs="宋体"/>
                <w:color w:val="auto"/>
                <w:sz w:val="24"/>
                <w:szCs w:val="32"/>
                <w:highlight w:val="none"/>
              </w:rPr>
              <w:t>等级</w:t>
            </w:r>
            <w:r>
              <w:rPr>
                <w:rFonts w:hint="eastAsia" w:ascii="宋体" w:hAnsi="宋体" w:eastAsia="宋体" w:cs="宋体"/>
                <w:sz w:val="24"/>
                <w:szCs w:val="32"/>
                <w:highlight w:val="none"/>
              </w:rPr>
              <w:t>标准，培养学生工匠精神。</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2.课程体系与教学资源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sz w:val="24"/>
                <w:szCs w:val="32"/>
                <w:highlight w:val="none"/>
              </w:rPr>
              <w:t>建设适</w:t>
            </w:r>
            <w:r>
              <w:rPr>
                <w:rFonts w:hint="eastAsia" w:ascii="宋体" w:hAnsi="宋体" w:eastAsia="宋体" w:cs="宋体"/>
                <w:color w:val="auto"/>
                <w:sz w:val="24"/>
                <w:szCs w:val="32"/>
                <w:highlight w:val="none"/>
              </w:rPr>
              <w:t>合我</w:t>
            </w:r>
            <w:r>
              <w:rPr>
                <w:rFonts w:hint="eastAsia" w:ascii="宋体" w:hAnsi="宋体" w:eastAsia="宋体" w:cs="宋体"/>
                <w:color w:val="auto"/>
                <w:sz w:val="24"/>
                <w:szCs w:val="32"/>
                <w:highlight w:val="none"/>
                <w:lang w:val="en-US" w:eastAsia="zh-CN"/>
              </w:rPr>
              <w:t>院</w:t>
            </w:r>
            <w:r>
              <w:rPr>
                <w:rFonts w:hint="eastAsia" w:ascii="宋体" w:hAnsi="宋体" w:eastAsia="宋体" w:cs="宋体"/>
                <w:color w:val="auto"/>
                <w:sz w:val="24"/>
                <w:szCs w:val="32"/>
                <w:highlight w:val="none"/>
                <w:lang w:eastAsia="zh-CN"/>
              </w:rPr>
              <w:t>跨</w:t>
            </w:r>
            <w:r>
              <w:rPr>
                <w:rFonts w:hint="eastAsia" w:ascii="宋体" w:hAnsi="宋体" w:eastAsia="宋体" w:cs="宋体"/>
                <w:sz w:val="24"/>
                <w:szCs w:val="32"/>
                <w:highlight w:val="none"/>
                <w:lang w:eastAsia="zh-CN"/>
              </w:rPr>
              <w:t>境电子商务</w:t>
            </w:r>
            <w:r>
              <w:rPr>
                <w:rFonts w:hint="eastAsia" w:ascii="宋体" w:hAnsi="宋体" w:eastAsia="宋体" w:cs="宋体"/>
                <w:sz w:val="24"/>
                <w:szCs w:val="32"/>
                <w:highlight w:val="none"/>
              </w:rPr>
              <w:t>专业的课程和教学资源。制定1个校企通用专业标准，开发核心课程标准。组建</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专业教学资源库建设团队，</w:t>
            </w:r>
            <w:r>
              <w:rPr>
                <w:rFonts w:hint="eastAsia" w:ascii="宋体" w:hAnsi="宋体" w:eastAsia="宋体" w:cs="宋体"/>
                <w:sz w:val="24"/>
                <w:szCs w:val="32"/>
                <w:highlight w:val="none"/>
                <w:lang w:val="en-US" w:eastAsia="zh-CN"/>
              </w:rPr>
              <w:t>引企入校</w:t>
            </w:r>
            <w:r>
              <w:rPr>
                <w:rFonts w:hint="eastAsia" w:ascii="宋体" w:hAnsi="宋体" w:eastAsia="宋体" w:cs="宋体"/>
                <w:color w:val="auto"/>
                <w:sz w:val="24"/>
                <w:szCs w:val="32"/>
                <w:highlight w:val="none"/>
              </w:rPr>
              <w:t>、共享企业实际实施</w:t>
            </w:r>
            <w:r>
              <w:rPr>
                <w:rFonts w:hint="eastAsia" w:ascii="宋体" w:hAnsi="宋体" w:eastAsia="宋体" w:cs="宋体"/>
                <w:color w:val="auto"/>
                <w:sz w:val="24"/>
                <w:szCs w:val="32"/>
                <w:highlight w:val="none"/>
                <w:lang w:eastAsia="zh-CN"/>
              </w:rPr>
              <w:t>跨境电子商务</w:t>
            </w:r>
            <w:r>
              <w:rPr>
                <w:rFonts w:hint="eastAsia" w:ascii="宋体" w:hAnsi="宋体" w:eastAsia="宋体" w:cs="宋体"/>
                <w:color w:val="auto"/>
                <w:sz w:val="24"/>
                <w:szCs w:val="32"/>
                <w:highlight w:val="none"/>
              </w:rPr>
              <w:t>平台一个，开发</w:t>
            </w:r>
            <w:r>
              <w:rPr>
                <w:rFonts w:hint="eastAsia" w:ascii="宋体" w:hAnsi="宋体" w:eastAsia="宋体" w:cs="宋体"/>
                <w:color w:val="auto"/>
                <w:sz w:val="24"/>
                <w:szCs w:val="32"/>
                <w:highlight w:val="none"/>
                <w:lang w:eastAsia="zh-CN"/>
              </w:rPr>
              <w:t>跨境电子商务</w:t>
            </w:r>
            <w:r>
              <w:rPr>
                <w:rFonts w:hint="eastAsia" w:ascii="宋体" w:hAnsi="宋体" w:eastAsia="宋体" w:cs="宋体"/>
                <w:color w:val="auto"/>
                <w:sz w:val="24"/>
                <w:szCs w:val="32"/>
                <w:highlight w:val="none"/>
              </w:rPr>
              <w:t>各级各类课程资源数量200个。</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3.教材与教法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深化服务个性化培养的教材与教法改革，建设新形态、立体化教材。推进教师信息化教学能力改革，组织教师信息化教学能力培训、积极参与教师教学能力比赛，推进</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教育教学改革项目</w:t>
            </w:r>
            <w:r>
              <w:rPr>
                <w:rFonts w:hint="eastAsia" w:ascii="宋体" w:hAnsi="宋体" w:eastAsia="宋体" w:cs="宋体"/>
                <w:color w:val="auto"/>
                <w:sz w:val="24"/>
                <w:szCs w:val="32"/>
                <w:highlight w:val="none"/>
              </w:rPr>
              <w:t>2</w:t>
            </w:r>
            <w:r>
              <w:rPr>
                <w:rFonts w:hint="eastAsia" w:ascii="宋体" w:hAnsi="宋体" w:eastAsia="宋体" w:cs="宋体"/>
                <w:sz w:val="24"/>
                <w:szCs w:val="32"/>
                <w:highlight w:val="none"/>
              </w:rPr>
              <w:t>项，积极参与各级各类职业技能大赛，争取获得各级各类奖项6项，试点专业“1+X”证书取得率达到80%。</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4.师资队伍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建设具备国际视野的高水平教师教学创新团队，</w:t>
            </w:r>
            <w:r>
              <w:rPr>
                <w:rFonts w:hint="eastAsia" w:ascii="宋体" w:hAnsi="宋体" w:eastAsia="宋体" w:cs="宋体"/>
                <w:color w:val="auto"/>
                <w:sz w:val="24"/>
                <w:szCs w:val="32"/>
                <w:highlight w:val="none"/>
              </w:rPr>
              <w:t>实行校企行“三带头人”制度，聘请行业带头人1名、企业带头人1名，校内带头人1名</w:t>
            </w:r>
            <w:r>
              <w:rPr>
                <w:rFonts w:hint="eastAsia" w:ascii="宋体" w:hAnsi="宋体" w:eastAsia="宋体" w:cs="宋体"/>
                <w:color w:val="auto"/>
                <w:sz w:val="24"/>
                <w:szCs w:val="32"/>
                <w:highlight w:val="none"/>
                <w:lang w:val="en-US" w:eastAsia="zh-CN"/>
              </w:rPr>
              <w:t>,再培养1名校内带头人</w:t>
            </w:r>
            <w:r>
              <w:rPr>
                <w:rFonts w:hint="eastAsia" w:ascii="宋体" w:hAnsi="宋体" w:eastAsia="宋体" w:cs="宋体"/>
                <w:color w:val="auto"/>
                <w:sz w:val="24"/>
                <w:szCs w:val="32"/>
                <w:highlight w:val="none"/>
              </w:rPr>
              <w:t>。根据专业核心岗位的需要，培养3名骨干教师，招聘新任教师4名，</w:t>
            </w:r>
            <w:r>
              <w:rPr>
                <w:rFonts w:hint="eastAsia" w:ascii="宋体" w:hAnsi="宋体" w:eastAsia="宋体" w:cs="宋体"/>
                <w:sz w:val="24"/>
                <w:szCs w:val="32"/>
                <w:highlight w:val="none"/>
              </w:rPr>
              <w:t>扩展兼职教师库人数达到20人，引进技术技能人才2名，成立技能大师工作室1个，双师结构专任教师团队比例达到70%以上。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5.实习实训基地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与企业共同建设集教学、生产、科研、技术服务、对外培训、技能大赛、创新创业</w:t>
            </w:r>
            <w:r>
              <w:rPr>
                <w:rFonts w:hint="eastAsia" w:ascii="宋体" w:hAnsi="宋体" w:eastAsia="宋体" w:cs="宋体"/>
                <w:sz w:val="24"/>
                <w:szCs w:val="32"/>
                <w:highlight w:val="none"/>
                <w:lang w:val="en-US" w:eastAsia="zh-CN"/>
              </w:rPr>
              <w:t>于</w:t>
            </w:r>
            <w:r>
              <w:rPr>
                <w:rFonts w:hint="eastAsia" w:ascii="宋体" w:hAnsi="宋体" w:eastAsia="宋体" w:cs="宋体"/>
                <w:sz w:val="24"/>
                <w:szCs w:val="32"/>
                <w:highlight w:val="none"/>
              </w:rPr>
              <w:t>一体的具有地方特色的开放型区域产教融合实训基地，</w:t>
            </w:r>
            <w:r>
              <w:rPr>
                <w:rFonts w:hint="default" w:ascii="宋体" w:hAnsi="宋体" w:eastAsia="宋体" w:cs="宋体"/>
                <w:sz w:val="24"/>
                <w:szCs w:val="24"/>
                <w:highlight w:val="none"/>
                <w:lang w:eastAsia="zh-CN"/>
              </w:rPr>
              <w:t>专业群现建有1栋综合实训楼</w:t>
            </w:r>
            <w:r>
              <w:rPr>
                <w:rFonts w:hint="eastAsia" w:ascii="宋体" w:hAnsi="宋体" w:cs="宋体"/>
                <w:sz w:val="24"/>
                <w:szCs w:val="24"/>
                <w:highlight w:val="none"/>
                <w:lang w:eastAsia="zh-CN"/>
              </w:rPr>
              <w:t>，</w:t>
            </w:r>
            <w:r>
              <w:rPr>
                <w:rFonts w:hint="default" w:ascii="宋体" w:hAnsi="宋体" w:eastAsia="宋体" w:cs="宋体"/>
                <w:sz w:val="24"/>
                <w:szCs w:val="24"/>
                <w:highlight w:val="none"/>
                <w:lang w:eastAsia="zh-CN"/>
              </w:rPr>
              <w:t>积极引进菜鸟、天猫、亚欧3个企业入驻校园，已与浙江菜鸟供应链管理有限公司、亚欧国际物资交易中心共建跨境电商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新零售</w:t>
            </w:r>
            <w:r>
              <w:rPr>
                <w:rFonts w:hint="default" w:ascii="宋体" w:hAnsi="宋体" w:eastAsia="宋体" w:cs="宋体"/>
                <w:sz w:val="24"/>
                <w:szCs w:val="24"/>
                <w:highlight w:val="none"/>
                <w:lang w:eastAsia="zh-CN"/>
              </w:rPr>
              <w:t>两个校内生产性实践实训基地，引入企业投资1100万元。</w:t>
            </w:r>
            <w:r>
              <w:rPr>
                <w:rFonts w:hint="eastAsia" w:ascii="宋体" w:hAnsi="宋体" w:eastAsia="宋体" w:cs="宋体"/>
                <w:sz w:val="24"/>
                <w:szCs w:val="24"/>
                <w:highlight w:val="none"/>
                <w:lang w:eastAsia="zh-CN"/>
              </w:rPr>
              <w:t>学院选取覆盖新疆“一核两区”的典型企业作为校外实习基地，与</w:t>
            </w:r>
            <w:r>
              <w:rPr>
                <w:rFonts w:hint="eastAsia" w:ascii="宋体" w:hAnsi="宋体" w:eastAsia="宋体" w:cs="宋体"/>
                <w:sz w:val="24"/>
                <w:szCs w:val="24"/>
                <w:highlight w:val="none"/>
                <w:lang w:val="en-US" w:eastAsia="zh-CN"/>
              </w:rPr>
              <w:t>浙江菜鸟供应链管理有限公司（西北大区）</w:t>
            </w:r>
            <w:r>
              <w:rPr>
                <w:rFonts w:hint="eastAsia" w:ascii="宋体" w:hAnsi="宋体" w:eastAsia="宋体" w:cs="宋体"/>
                <w:sz w:val="24"/>
                <w:szCs w:val="24"/>
                <w:highlight w:val="none"/>
                <w:lang w:eastAsia="zh-CN"/>
              </w:rPr>
              <w:t>、中国供销集团中亚金谷国际物流园、奎屯保税物流中心、</w:t>
            </w:r>
            <w:r>
              <w:rPr>
                <w:rFonts w:hint="eastAsia" w:ascii="宋体" w:hAnsi="宋体" w:eastAsia="宋体" w:cs="宋体"/>
                <w:sz w:val="24"/>
                <w:szCs w:val="24"/>
                <w:highlight w:val="none"/>
                <w:lang w:val="en-US" w:eastAsia="zh-CN"/>
              </w:rPr>
              <w:t>新疆天顺供应链集团公司</w:t>
            </w:r>
            <w:r>
              <w:rPr>
                <w:rFonts w:hint="eastAsia" w:ascii="宋体" w:hAnsi="宋体" w:eastAsia="宋体" w:cs="宋体"/>
                <w:sz w:val="24"/>
                <w:szCs w:val="24"/>
                <w:highlight w:val="none"/>
                <w:lang w:eastAsia="zh-CN"/>
              </w:rPr>
              <w:t>等企业共建1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个校外实习基地，完全满足了学生校外实习实训的要求。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lang w:val="en-US" w:eastAsia="zh-CN"/>
              </w:rPr>
              <w:t>6</w:t>
            </w:r>
            <w:r>
              <w:rPr>
                <w:rFonts w:hint="eastAsia" w:ascii="宋体" w:hAnsi="宋体" w:eastAsia="宋体" w:cs="宋体"/>
                <w:b/>
                <w:bCs/>
                <w:sz w:val="24"/>
                <w:szCs w:val="32"/>
                <w:highlight w:val="none"/>
              </w:rPr>
              <w:t>.专业建设质量保障机制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建立专业可持续发展提供保障。制定专业建设领导责任制和“目标责任书”制度，完善专业质量保障机制，成立由政行校企专家组成的专业建设指导委员会，开展专业与课程整改，健全专业资源共享机制，建立沟通协调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lang w:val="en-US" w:eastAsia="zh-CN"/>
              </w:rPr>
              <w:t>7</w:t>
            </w:r>
            <w:r>
              <w:rPr>
                <w:rFonts w:hint="eastAsia" w:ascii="宋体" w:hAnsi="宋体" w:eastAsia="宋体" w:cs="宋体"/>
                <w:b/>
                <w:bCs/>
                <w:sz w:val="24"/>
                <w:szCs w:val="32"/>
                <w:highlight w:val="none"/>
              </w:rPr>
              <w:t>.建设规划过程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黑体" w:hAnsi="黑体" w:eastAsia="黑体" w:cs="黑体"/>
                <w:b/>
                <w:bCs/>
                <w:sz w:val="28"/>
                <w:szCs w:val="28"/>
                <w:highlight w:val="none"/>
              </w:rPr>
            </w:pPr>
            <w:r>
              <w:rPr>
                <w:rFonts w:hint="default"/>
                <w:sz w:val="24"/>
                <w:highlight w:val="none"/>
                <w:lang w:val="en-US"/>
              </w:rPr>
              <mc:AlternateContent>
                <mc:Choice Requires="wpg">
                  <w:drawing>
                    <wp:anchor distT="0" distB="0" distL="114300" distR="114300" simplePos="0" relativeHeight="251667456" behindDoc="0" locked="0" layoutInCell="1" allowOverlap="1">
                      <wp:simplePos x="0" y="0"/>
                      <wp:positionH relativeFrom="column">
                        <wp:posOffset>207645</wp:posOffset>
                      </wp:positionH>
                      <wp:positionV relativeFrom="page">
                        <wp:posOffset>1873885</wp:posOffset>
                      </wp:positionV>
                      <wp:extent cx="5382260" cy="1925320"/>
                      <wp:effectExtent l="0" t="0" r="8890" b="17780"/>
                      <wp:wrapTopAndBottom/>
                      <wp:docPr id="6" name="组合 6"/>
                      <wp:cNvGraphicFramePr/>
                      <a:graphic xmlns:a="http://schemas.openxmlformats.org/drawingml/2006/main">
                        <a:graphicData uri="http://schemas.microsoft.com/office/word/2010/wordprocessingGroup">
                          <wpg:wgp>
                            <wpg:cNvGrpSpPr/>
                            <wpg:grpSpPr>
                              <a:xfrm>
                                <a:off x="0" y="0"/>
                                <a:ext cx="5382260" cy="1925320"/>
                                <a:chOff x="5788" y="58370"/>
                                <a:chExt cx="10885" cy="3047"/>
                              </a:xfrm>
                              <a:effectLst/>
                            </wpg:grpSpPr>
                            <pic:pic xmlns:pic="http://schemas.openxmlformats.org/drawingml/2006/picture">
                              <pic:nvPicPr>
                                <pic:cNvPr id="1" name="图片 1" descr="IMG_256"/>
                                <pic:cNvPicPr>
                                  <a:picLocks noChangeAspect="1"/>
                                </pic:cNvPicPr>
                              </pic:nvPicPr>
                              <pic:blipFill>
                                <a:blip r:embed="rId6"/>
                                <a:stretch>
                                  <a:fillRect/>
                                </a:stretch>
                              </pic:blipFill>
                              <pic:spPr>
                                <a:xfrm>
                                  <a:off x="5788" y="58370"/>
                                  <a:ext cx="10885" cy="3047"/>
                                </a:xfrm>
                                <a:prstGeom prst="rect">
                                  <a:avLst/>
                                </a:prstGeom>
                                <a:noFill/>
                                <a:ln w="9525">
                                  <a:noFill/>
                                </a:ln>
                                <a:effectLst/>
                              </pic:spPr>
                            </pic:pic>
                            <wps:wsp>
                              <wps:cNvPr id="2" name="矩形 2"/>
                              <wps:cNvSpPr/>
                              <wps:spPr>
                                <a:xfrm>
                                  <a:off x="5900" y="60547"/>
                                  <a:ext cx="2599" cy="737"/>
                                </a:xfrm>
                                <a:prstGeom prst="rect">
                                  <a:avLst/>
                                </a:prstGeom>
                                <a:solidFill>
                                  <a:srgbClr val="CCE8CF"/>
                                </a:solidFill>
                                <a:ln w="25400" cap="flat" cmpd="sng" algn="ctr">
                                  <a:solidFill>
                                    <a:srgbClr val="376092">
                                      <a:lumMod val="75000"/>
                                    </a:srgbClr>
                                  </a:solidFill>
                                  <a:prstDash val="solid"/>
                                </a:ln>
                                <a:effectLst/>
                              </wps:spPr>
                              <wps:txb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跨境电子商务专业规划阶段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（2025年1月-2025年12月）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 name="矩形 3"/>
                              <wps:cNvSpPr/>
                              <wps:spPr>
                                <a:xfrm>
                                  <a:off x="8607" y="60103"/>
                                  <a:ext cx="2599" cy="737"/>
                                </a:xfrm>
                                <a:prstGeom prst="rect">
                                  <a:avLst/>
                                </a:prstGeom>
                                <a:solidFill>
                                  <a:srgbClr val="CCE8CF"/>
                                </a:solidFill>
                                <a:ln w="25400" cap="flat" cmpd="sng" algn="ctr">
                                  <a:solidFill>
                                    <a:srgbClr val="376092">
                                      <a:lumMod val="75000"/>
                                    </a:srgbClr>
                                  </a:solidFill>
                                  <a:prstDash val="solid"/>
                                </a:ln>
                                <a:effectLst/>
                              </wps:spPr>
                              <wps:txb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跨境电子商务专业建设阶段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（2026年1月-2026年7月）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矩形 4"/>
                              <wps:cNvSpPr/>
                              <wps:spPr>
                                <a:xfrm>
                                  <a:off x="11314" y="59409"/>
                                  <a:ext cx="2599" cy="737"/>
                                </a:xfrm>
                                <a:prstGeom prst="rect">
                                  <a:avLst/>
                                </a:prstGeom>
                                <a:solidFill>
                                  <a:srgbClr val="CCE8CF"/>
                                </a:solidFill>
                                <a:ln w="25400" cap="flat" cmpd="sng" algn="ctr">
                                  <a:solidFill>
                                    <a:srgbClr val="376092">
                                      <a:lumMod val="75000"/>
                                    </a:srgbClr>
                                  </a:solidFill>
                                  <a:prstDash val="solid"/>
                                </a:ln>
                                <a:effectLst/>
                              </wps:spPr>
                              <wps:txb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跨境电子商务专业完善阶段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（2026年9月-2027年6月）</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 name="矩形 5"/>
                              <wps:cNvSpPr/>
                              <wps:spPr>
                                <a:xfrm>
                                  <a:off x="14004" y="59083"/>
                                  <a:ext cx="2599" cy="737"/>
                                </a:xfrm>
                                <a:prstGeom prst="rect">
                                  <a:avLst/>
                                </a:prstGeom>
                                <a:solidFill>
                                  <a:srgbClr val="CCE8CF"/>
                                </a:solidFill>
                                <a:ln w="25400" cap="flat" cmpd="sng" algn="ctr">
                                  <a:solidFill>
                                    <a:srgbClr val="376092">
                                      <a:lumMod val="75000"/>
                                    </a:srgbClr>
                                  </a:solidFill>
                                  <a:prstDash val="solid"/>
                                </a:ln>
                                <a:effectLst/>
                              </wps:spPr>
                              <wps:txb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跨境电子商务专业验收阶段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（2027年7月-2028年6月）</w:t>
                                    </w: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6.35pt;margin-top:147.55pt;height:151.6pt;width:423.8pt;mso-position-vertical-relative:page;mso-wrap-distance-bottom:0pt;mso-wrap-distance-top:0pt;z-index:251667456;mso-width-relative:page;mso-height-relative:page;" coordorigin="5788,58370" coordsize="10885,3047" o:gfxdata="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">
                      <o:lock v:ext="edit" aspectratio="f"/>
                      <v:shape id="_x0000_s1026" o:spid="_x0000_s1026" o:spt="75" alt="IMG_256" type="#_x0000_t75" style="position:absolute;left:5788;top:58370;height:3047;width:10885;" filled="f" o:preferrelative="t" stroked="f" coordsize="21600,21600" o:gfxdata="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ATO/rgAAADaAAAA&#10;DwAAAAAAAAABACAAAAAiAAAAZHJzL2Rvd25yZXYueG1sUEsBAhQAFAAAAAgAh07iQDMvBZ47AAAA&#10;OQAAABAAAAAAAAAAAQAgAAAABwEAAGRycy9zaGFwZXhtbC54bWxQSwUGAAAAAAYABgBbAQAAsQMA&#10;AAAA&#10;">
                        <v:fill on="f" focussize="0,0"/>
                        <v:stroke on="f"/>
                        <v:imagedata r:id="rId6" o:title=""/>
                        <o:lock v:ext="edit" aspectratio="t"/>
                      </v:shape>
                      <v:rect id="_x0000_s1026" o:spid="_x0000_s1026" o:spt="1" style="position:absolute;left:5900;top:60547;height:737;width:2599;v-text-anchor:middle;" fillcolor="#CCE8CF" filled="t" stroked="t" coordsize="21600,21600" o:gfxdata="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i2SirUAAADaAAAADwAA&#10;AAAAAAABACAAAAAiAAAAZHJzL2Rvd25yZXYueG1sUEsBAhQAFAAAAAgAh07iQDMvBZ47AAAAOQAA&#10;ABAAAAAAAAAAAQAgAAAABAEAAGRycy9zaGFwZXhtbC54bWxQSwUGAAAAAAYABgBbAQAArgMAAAAA&#10;">
                        <v:fill on="t" focussize="0,0"/>
                        <v:stroke weight="2pt" color="#29486E" joinstyle="round"/>
                        <v:imagedata o:title=""/>
                        <o:lock v:ext="edit" aspectratio="f"/>
                        <v:textbo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跨境电子商务专业规划阶段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（2025年1月-2025年12月）</w:t>
                              </w:r>
                            </w:p>
                          </w:txbxContent>
                        </v:textbox>
                      </v:rect>
                      <v:rect id="_x0000_s1026" o:spid="_x0000_s1026" o:spt="1" style="position:absolute;left:8607;top:60103;height:737;width:2599;v-text-anchor:middle;" fillcolor="#CCE8CF" filled="t" stroked="t" coordsize="21600,21600" o:gfxdata="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E3EbgAAADaAAAA&#10;DwAAAAAAAAABACAAAAAiAAAAZHJzL2Rvd25yZXYueG1sUEsBAhQAFAAAAAgAh07iQDMvBZ47AAAA&#10;OQAAABAAAAAAAAAAAQAgAAAABwEAAGRycy9zaGFwZXhtbC54bWxQSwUGAAAAAAYABgBbAQAAsQMA&#10;AAAA&#10;">
                        <v:fill on="t" focussize="0,0"/>
                        <v:stroke weight="2pt" color="#29486E" joinstyle="round"/>
                        <v:imagedata o:title=""/>
                        <o:lock v:ext="edit" aspectratio="f"/>
                        <v:textbo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跨境电子商务专业建设阶段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（2026年1月-2026年7月）</w:t>
                              </w:r>
                            </w:p>
                          </w:txbxContent>
                        </v:textbox>
                      </v:rect>
                      <v:rect id="_x0000_s1026" o:spid="_x0000_s1026" o:spt="1" style="position:absolute;left:11314;top:59409;height:737;width:2599;v-text-anchor:middle;" fillcolor="#CCE8CF" filled="t" stroked="t" coordsize="21600,21600" o:gfxdata="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oivZbgAAADaAAAA&#10;DwAAAAAAAAABACAAAAAiAAAAZHJzL2Rvd25yZXYueG1sUEsBAhQAFAAAAAgAh07iQDMvBZ47AAAA&#10;OQAAABAAAAAAAAAAAQAgAAAABwEAAGRycy9zaGFwZXhtbC54bWxQSwUGAAAAAAYABgBbAQAAsQMA&#10;AAAA&#10;">
                        <v:fill on="t" focussize="0,0"/>
                        <v:stroke weight="2pt" color="#29486E" joinstyle="round"/>
                        <v:imagedata o:title=""/>
                        <o:lock v:ext="edit" aspectratio="f"/>
                        <v:textbo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跨境电子商务专业完善阶段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（2026年9月-2027年6月）</w:t>
                              </w:r>
                            </w:p>
                          </w:txbxContent>
                        </v:textbox>
                      </v:rect>
                      <v:rect id="_x0000_s1026" o:spid="_x0000_s1026" o:spt="1" style="position:absolute;left:14004;top:59083;height:737;width:2599;v-text-anchor:middle;" fillcolor="#CCE8CF" filled="t" stroked="t" coordsize="21600,21600" o:gfxdata="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K/rgAAADaAAAA&#10;DwAAAAAAAAABACAAAAAiAAAAZHJzL2Rvd25yZXYueG1sUEsBAhQAFAAAAAgAh07iQDMvBZ47AAAA&#10;OQAAABAAAAAAAAAAAQAgAAAABwEAAGRycy9zaGFwZXhtbC54bWxQSwUGAAAAAAYABgBbAQAAsQMA&#10;AAAA&#10;">
                        <v:fill on="t" focussize="0,0"/>
                        <v:stroke weight="2pt" color="#29486E" joinstyle="round"/>
                        <v:imagedata o:title=""/>
                        <o:lock v:ext="edit" aspectratio="f"/>
                        <v:textbox>
                          <w:txbxContent>
                            <w:p>
                              <w:pPr>
                                <w:jc w:val="both"/>
                                <w:rPr>
                                  <w:rFonts w:hint="eastAsia"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跨境电子商务专业验收阶段</w:t>
                              </w:r>
                            </w:p>
                            <w:p>
                              <w:pPr>
                                <w:jc w:val="both"/>
                                <w:rPr>
                                  <w:rFonts w:hint="default" w:ascii="楷体" w:hAnsi="楷体" w:eastAsia="楷体" w:cs="楷体"/>
                                  <w:b/>
                                  <w:bCs/>
                                  <w:color w:val="000000"/>
                                  <w:sz w:val="18"/>
                                  <w:szCs w:val="18"/>
                                  <w:highlight w:val="none"/>
                                  <w:lang w:val="en-US" w:eastAsia="zh-CN"/>
                                </w:rPr>
                              </w:pPr>
                              <w:r>
                                <w:rPr>
                                  <w:rFonts w:hint="eastAsia" w:ascii="楷体" w:hAnsi="楷体" w:eastAsia="楷体" w:cs="楷体"/>
                                  <w:b/>
                                  <w:bCs/>
                                  <w:color w:val="000000"/>
                                  <w:sz w:val="18"/>
                                  <w:szCs w:val="18"/>
                                  <w:highlight w:val="none"/>
                                  <w:lang w:val="en-US" w:eastAsia="zh-CN"/>
                                </w:rPr>
                                <w:t>（2027年7月-2028年6月）</w:t>
                              </w:r>
                            </w:p>
                          </w:txbxContent>
                        </v:textbox>
                      </v:rect>
                      <w10:wrap type="topAndBottom"/>
                    </v:group>
                  </w:pict>
                </mc:Fallback>
              </mc:AlternateContent>
            </w:r>
          </w:p>
          <w:p>
            <w:pPr>
              <w:keepNext w:val="0"/>
              <w:keepLines w:val="0"/>
              <w:pageBreakBefore w:val="0"/>
              <w:widowControl w:val="0"/>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四、具体建设规划措施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（一）人才培养模式改革</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1.对应</w:t>
            </w:r>
            <w:r>
              <w:rPr>
                <w:rFonts w:hint="eastAsia" w:ascii="宋体" w:hAnsi="宋体" w:eastAsia="宋体" w:cs="宋体"/>
                <w:b/>
                <w:bCs/>
                <w:sz w:val="24"/>
                <w:szCs w:val="32"/>
                <w:highlight w:val="none"/>
                <w:lang w:val="en-US" w:eastAsia="zh-CN"/>
              </w:rPr>
              <w:t>跨境电商</w:t>
            </w:r>
            <w:r>
              <w:rPr>
                <w:rFonts w:hint="eastAsia" w:ascii="宋体" w:hAnsi="宋体" w:eastAsia="宋体" w:cs="宋体"/>
                <w:b/>
                <w:bCs/>
                <w:sz w:val="24"/>
                <w:szCs w:val="32"/>
                <w:highlight w:val="none"/>
              </w:rPr>
              <w:t>产业链，构建“五双”现代学徒制人才培养模式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000000"/>
                <w:sz w:val="24"/>
                <w:szCs w:val="32"/>
                <w:highlight w:val="none"/>
              </w:rPr>
            </w:pPr>
            <w:r>
              <w:rPr>
                <w:rFonts w:hint="eastAsia" w:ascii="宋体" w:hAnsi="宋体" w:eastAsia="宋体" w:cs="宋体"/>
                <w:sz w:val="24"/>
                <w:szCs w:val="32"/>
                <w:highlight w:val="none"/>
              </w:rPr>
              <w:t>通过调研国内</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专业开设职业院校、新疆区</w:t>
            </w:r>
            <w:r>
              <w:rPr>
                <w:rFonts w:hint="eastAsia" w:ascii="宋体" w:hAnsi="宋体" w:eastAsia="宋体" w:cs="宋体"/>
                <w:color w:val="000000"/>
                <w:sz w:val="24"/>
                <w:szCs w:val="32"/>
                <w:highlight w:val="none"/>
              </w:rPr>
              <w:t>域</w:t>
            </w:r>
            <w:r>
              <w:rPr>
                <w:rFonts w:hint="eastAsia" w:ascii="宋体" w:hAnsi="宋体" w:eastAsia="宋体" w:cs="宋体"/>
                <w:color w:val="000000"/>
                <w:sz w:val="24"/>
                <w:szCs w:val="32"/>
                <w:highlight w:val="none"/>
                <w:lang w:val="en-US" w:eastAsia="zh-CN"/>
              </w:rPr>
              <w:t>跨境电商</w:t>
            </w:r>
            <w:r>
              <w:rPr>
                <w:rFonts w:hint="eastAsia" w:ascii="宋体" w:hAnsi="宋体" w:eastAsia="宋体" w:cs="宋体"/>
                <w:color w:val="000000"/>
                <w:sz w:val="24"/>
                <w:szCs w:val="32"/>
                <w:highlight w:val="none"/>
              </w:rPr>
              <w:t>企业、依据国家行业标准和岗位群标准，基于国家战略，根植伊犁、立足奎屯、服务全疆、制订专业学分、课程互选办法。建设周期内，构建（学校+企业）双主体育人、（教师+师傅）双导师指导、（学校+企业）双课堂教学、（学生+学徒）双身份学习、（学历证书+X职业等级证书）双证书检验的“五双”现代学徒制人才培养模式。与企业共建合作框架，签订合作协议，推行双主体办学，逐渐实现招生工作一体化，实现入校即入企。通过校企“双主体”育人，与有紧密合作关系的新疆天顺供应链集团公司、九州通新疆公司企业共同建立现代学徒制合作机制。到202</w:t>
            </w:r>
            <w:r>
              <w:rPr>
                <w:rFonts w:hint="eastAsia" w:ascii="宋体" w:hAnsi="宋体" w:eastAsia="宋体" w:cs="宋体"/>
                <w:color w:val="000000"/>
                <w:sz w:val="24"/>
                <w:szCs w:val="32"/>
                <w:highlight w:val="none"/>
                <w:lang w:val="en-US" w:eastAsia="zh-CN"/>
              </w:rPr>
              <w:t>8</w:t>
            </w:r>
            <w:r>
              <w:rPr>
                <w:rFonts w:hint="eastAsia" w:ascii="宋体" w:hAnsi="宋体" w:eastAsia="宋体" w:cs="宋体"/>
                <w:color w:val="000000"/>
                <w:sz w:val="24"/>
                <w:szCs w:val="32"/>
                <w:highlight w:val="none"/>
              </w:rPr>
              <w:t>年，开办1个</w:t>
            </w:r>
            <w:r>
              <w:rPr>
                <w:rFonts w:hint="eastAsia" w:ascii="宋体" w:hAnsi="宋体" w:eastAsia="宋体" w:cs="宋体"/>
                <w:color w:val="000000"/>
                <w:sz w:val="24"/>
                <w:szCs w:val="32"/>
                <w:highlight w:val="none"/>
                <w:lang w:eastAsia="zh-CN"/>
              </w:rPr>
              <w:t>跨境电子商务</w:t>
            </w:r>
            <w:r>
              <w:rPr>
                <w:rFonts w:hint="eastAsia" w:ascii="宋体" w:hAnsi="宋体" w:eastAsia="宋体" w:cs="宋体"/>
                <w:color w:val="000000"/>
                <w:sz w:val="24"/>
                <w:szCs w:val="32"/>
                <w:highlight w:val="none"/>
              </w:rPr>
              <w:t>现代学徒制试点班级。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2.构建服务学生个性化成长课程体系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打破“专业课程碎片化、资源割裂、教学过程缺乏柔性”的瓶颈，对接新疆天顺供应链集团公司、新疆九州通、亚欧国家物资交易等产业链企业整改人才培养方案，设计与现代物流管理专业群要求的“底层可共享、中层可融合、上层可互选”原则构建专业课程体系，完善教学资源，明确底层基础共享课程组、中层核心课程组和上层选修课程组，实现基础课融合、核心课模块重组、选修课互选拓展，给学生提供更多选择，满足个性化发展需求，激发学习积极性和主动性。</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3.实施“1+X”职业技能等级证书制度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积极开展“学历证书＋若干职业技能等级证书”制度试点，重点开发</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职业技能等级证书课程资源，把学历证书与职业技能等级证书结合起来，坚持以学生为中心，在人才培养方案中嵌入“1+X”职业证书相关课程的学习。</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对接现代供应链产业链新兴职业岗位，由现代物流管理专业群产教融合发展平台牵头，重点探索</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职业技能等级证书试点建设，开发职业技能等级证书教学标准，并发布、实施、推广。同时，对社会人员开展职业技术技能培训，深化复合型技术技能人才培养培训和评价模式改革，提高人才培养质量，畅通人才成长通道，拓展就业创业本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（二）课程体系与教学资源</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1.专业标准的建设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按照产业人才供给需求，以行业企业为主导，以工匠精神培养为引领，构建课程思政的实施方案，融合职业资格证书、职业技能等级证书和国际有关标准，深化合作企业与中亚相关专业合作，共同制定一个企业标准，为</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专业后期国际合作项目提供依据。</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2.课程思政的建设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积极构建“思政课程＋课程思政”大格局，推进“三全育人”，实现思想政治教育与技术技能培养的有机统一，结合我院学生特点，创新思政课程教学模式。强化专业课教师立德树人意识，结合</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专业人才培养特点和专业能力素质要求，认真梳理每一门课程蕴含的思想政治教育元素，发挥专业课程承载的思想政治教育功能，推动专业课教学与思想政治理论课教学紧密结合、同向同行。重点开发</w:t>
            </w:r>
            <w:r>
              <w:rPr>
                <w:rFonts w:hint="eastAsia" w:ascii="宋体" w:hAnsi="宋体" w:eastAsia="宋体" w:cs="宋体"/>
                <w:sz w:val="24"/>
                <w:szCs w:val="32"/>
                <w:highlight w:val="none"/>
                <w:lang w:val="en-US" w:eastAsia="zh-CN"/>
              </w:rPr>
              <w:t>核心</w:t>
            </w:r>
            <w:r>
              <w:rPr>
                <w:rFonts w:hint="eastAsia" w:ascii="宋体" w:hAnsi="宋体" w:eastAsia="宋体" w:cs="宋体"/>
                <w:sz w:val="24"/>
                <w:szCs w:val="32"/>
                <w:highlight w:val="none"/>
              </w:rPr>
              <w:t>课程</w:t>
            </w:r>
            <w:r>
              <w:rPr>
                <w:rFonts w:hint="eastAsia" w:ascii="宋体" w:hAnsi="宋体" w:eastAsia="宋体" w:cs="宋体"/>
                <w:sz w:val="24"/>
                <w:szCs w:val="32"/>
                <w:highlight w:val="none"/>
                <w:lang w:val="en-US" w:eastAsia="zh-CN"/>
              </w:rPr>
              <w:t>的</w:t>
            </w:r>
            <w:r>
              <w:rPr>
                <w:rFonts w:hint="eastAsia" w:ascii="宋体" w:hAnsi="宋体" w:eastAsia="宋体" w:cs="宋体"/>
                <w:sz w:val="24"/>
                <w:szCs w:val="32"/>
                <w:highlight w:val="none"/>
              </w:rPr>
              <w:t>思政</w:t>
            </w:r>
            <w:r>
              <w:rPr>
                <w:rFonts w:hint="eastAsia" w:ascii="宋体" w:hAnsi="宋体" w:eastAsia="宋体" w:cs="宋体"/>
                <w:sz w:val="24"/>
                <w:szCs w:val="32"/>
                <w:highlight w:val="none"/>
                <w:lang w:val="en-US" w:eastAsia="zh-CN"/>
              </w:rPr>
              <w:t>内容</w:t>
            </w:r>
            <w:r>
              <w:rPr>
                <w:rFonts w:hint="eastAsia" w:ascii="宋体" w:hAnsi="宋体" w:eastAsia="宋体" w:cs="宋体"/>
                <w:sz w:val="24"/>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3.课程标准的建设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根据专业人才培养方案总体要求制</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修</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订专业课程标准，明确课程目标，优化课程内容，规范教学过程，将新技术、新工艺、新规范纳入课程标准和教学内容。根据</w:t>
            </w:r>
            <w:r>
              <w:rPr>
                <w:rFonts w:hint="eastAsia" w:ascii="宋体" w:hAnsi="宋体" w:eastAsia="宋体" w:cs="宋体"/>
                <w:sz w:val="24"/>
                <w:szCs w:val="32"/>
                <w:highlight w:val="none"/>
                <w:lang w:val="en-US" w:eastAsia="zh-CN"/>
              </w:rPr>
              <w:t>跨境电商</w:t>
            </w:r>
            <w:r>
              <w:rPr>
                <w:rFonts w:hint="eastAsia" w:ascii="宋体" w:hAnsi="宋体" w:eastAsia="宋体" w:cs="宋体"/>
                <w:sz w:val="24"/>
                <w:szCs w:val="32"/>
                <w:highlight w:val="none"/>
              </w:rPr>
              <w:t>产业链核心职业岗位典型工作任务，开发专业核心课程标准。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4.资源库的建设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组建</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专业课程资源库建设团队，与合作企业共享培训软件包（培训标准和技能鉴定标准）1个，开发2门在线开放课程资源，力争</w:t>
            </w:r>
            <w:r>
              <w:rPr>
                <w:rFonts w:hint="eastAsia" w:ascii="宋体" w:hAnsi="宋体" w:eastAsia="宋体" w:cs="宋体"/>
                <w:color w:val="000000"/>
                <w:sz w:val="24"/>
                <w:szCs w:val="32"/>
                <w:highlight w:val="none"/>
              </w:rPr>
              <w:t>《</w:t>
            </w:r>
            <w:r>
              <w:rPr>
                <w:rFonts w:hint="eastAsia" w:ascii="宋体" w:hAnsi="宋体" w:eastAsia="宋体" w:cs="宋体"/>
                <w:color w:val="000000"/>
                <w:sz w:val="24"/>
                <w:szCs w:val="32"/>
                <w:highlight w:val="none"/>
                <w:lang w:val="en-US" w:eastAsia="zh-CN"/>
              </w:rPr>
              <w:t>跨境电商实务</w:t>
            </w:r>
            <w:r>
              <w:rPr>
                <w:rFonts w:hint="eastAsia" w:ascii="宋体" w:hAnsi="宋体" w:eastAsia="宋体" w:cs="宋体"/>
                <w:color w:val="000000"/>
                <w:sz w:val="24"/>
                <w:szCs w:val="32"/>
                <w:highlight w:val="none"/>
              </w:rPr>
              <w:t>》1门课程入选省级精品在线开放课程；《</w:t>
            </w:r>
            <w:r>
              <w:rPr>
                <w:rFonts w:hint="eastAsia" w:ascii="宋体" w:hAnsi="宋体" w:eastAsia="宋体" w:cs="宋体"/>
                <w:color w:val="000000"/>
                <w:sz w:val="24"/>
                <w:szCs w:val="32"/>
                <w:highlight w:val="none"/>
                <w:lang w:val="en-US" w:eastAsia="zh-CN"/>
              </w:rPr>
              <w:t>跨境</w:t>
            </w:r>
            <w:r>
              <w:rPr>
                <w:rFonts w:hint="eastAsia" w:ascii="宋体" w:hAnsi="宋体" w:eastAsia="宋体" w:cs="宋体"/>
                <w:color w:val="000000"/>
                <w:sz w:val="24"/>
                <w:szCs w:val="32"/>
                <w:highlight w:val="none"/>
              </w:rPr>
              <w:t>电商视觉营销设计》《</w:t>
            </w:r>
            <w:r>
              <w:rPr>
                <w:rFonts w:hint="eastAsia" w:ascii="宋体" w:hAnsi="宋体" w:eastAsia="宋体" w:cs="宋体"/>
                <w:color w:val="000000"/>
                <w:sz w:val="24"/>
                <w:szCs w:val="32"/>
                <w:highlight w:val="none"/>
                <w:lang w:val="en-US" w:eastAsia="zh-CN"/>
              </w:rPr>
              <w:t>国际贸易实务</w:t>
            </w:r>
            <w:r>
              <w:rPr>
                <w:rFonts w:hint="eastAsia" w:ascii="宋体" w:hAnsi="宋体" w:eastAsia="宋体" w:cs="宋体"/>
                <w:color w:val="000000"/>
                <w:sz w:val="24"/>
                <w:szCs w:val="32"/>
                <w:highlight w:val="none"/>
              </w:rPr>
              <w:t>》等2门课程入选校级精品在线开放课程共建设资源库高质量素材200个。</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（三）教材与教法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突出“实践为主，学生主动，教师提升”的现代教学理念。首先要着重提升教师信息化教学能力，推进教育教学改革项目2项。同时以提高学生专业认知、学习兴趣、学习能力为目标，开展专业“项目导向、任务驱动”教学试点课程建设，支撑项目化教学实施，不断提升师生专业素养。按照学院信息化教学标准规范、精品在线开放课程建设标准与评价标准，推进课堂信息化建设，基于学院已经积极探索在线学习平台，推行线上线下混合教学试点课</w:t>
            </w:r>
            <w:r>
              <w:rPr>
                <w:rFonts w:hint="eastAsia" w:ascii="宋体" w:hAnsi="宋体" w:eastAsia="宋体" w:cs="宋体"/>
                <w:color w:val="000000"/>
                <w:sz w:val="24"/>
                <w:szCs w:val="32"/>
                <w:highlight w:val="none"/>
              </w:rPr>
              <w:t>程2门，不断扩大线上线下混合教学覆盖面。采用企业案例教学试点课程1门，积极推进以赛促教、以赛促学，利用教学实训周，积极开展“</w:t>
            </w:r>
            <w:r>
              <w:rPr>
                <w:rFonts w:hint="eastAsia" w:ascii="宋体" w:hAnsi="宋体" w:eastAsia="宋体" w:cs="宋体"/>
                <w:color w:val="000000"/>
                <w:sz w:val="24"/>
                <w:szCs w:val="32"/>
                <w:highlight w:val="none"/>
                <w:lang w:val="en-US" w:eastAsia="zh-CN"/>
              </w:rPr>
              <w:t>跨境电商</w:t>
            </w:r>
            <w:r>
              <w:rPr>
                <w:rFonts w:hint="eastAsia" w:ascii="宋体" w:hAnsi="宋体" w:eastAsia="宋体" w:cs="宋体"/>
                <w:color w:val="000000"/>
                <w:sz w:val="24"/>
                <w:szCs w:val="32"/>
                <w:highlight w:val="none"/>
              </w:rPr>
              <w:t>”项目，争取获</w:t>
            </w:r>
            <w:r>
              <w:rPr>
                <w:rFonts w:hint="eastAsia" w:ascii="宋体" w:hAnsi="宋体" w:eastAsia="宋体" w:cs="宋体"/>
                <w:sz w:val="24"/>
                <w:szCs w:val="32"/>
                <w:highlight w:val="none"/>
              </w:rPr>
              <w:t>得国家级行业大赛奖项1项，省部级大赛奖项3项；鼓励学生通过取得行业证书、“1+X”证书，不断拓宽学生就业面向，争取职业等级证书取得率达到80%。</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（四）师资队伍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1.专业带头人的培养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专业实行校企行“三带头人”制度，紧贴区域现代物流业转型升级发展需要，聘请行业有权威、国际有影响的葛炬教授作为专业建设行业带头人，负责专业建设的咨询、发展规划；聘请掌握</w:t>
            </w:r>
            <w:r>
              <w:rPr>
                <w:rFonts w:hint="eastAsia" w:ascii="宋体" w:hAnsi="宋体" w:eastAsia="宋体" w:cs="宋体"/>
                <w:sz w:val="24"/>
                <w:szCs w:val="32"/>
                <w:highlight w:val="none"/>
                <w:lang w:eastAsia="zh-CN"/>
              </w:rPr>
              <w:t>跨境电子商务</w:t>
            </w:r>
            <w:r>
              <w:rPr>
                <w:rFonts w:hint="eastAsia" w:ascii="宋体" w:hAnsi="宋体" w:eastAsia="宋体" w:cs="宋体"/>
                <w:sz w:val="24"/>
                <w:szCs w:val="32"/>
                <w:highlight w:val="none"/>
              </w:rPr>
              <w:t>模式、熟悉一定职业教育规律的专家作为专业建设企业带头人，负责人才培养模式改革，校内外实践基地建设；培养专业建设校内带头人，负责专业建设整体规划、教学资源建设、教学团队建设、国际交流合作；带领团队面</w:t>
            </w:r>
            <w:r>
              <w:rPr>
                <w:rFonts w:hint="eastAsia" w:ascii="宋体" w:hAnsi="宋体" w:eastAsia="宋体" w:cs="宋体"/>
                <w:color w:val="auto"/>
                <w:sz w:val="24"/>
                <w:szCs w:val="32"/>
                <w:highlight w:val="none"/>
              </w:rPr>
              <w:t>向</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color w:val="auto"/>
                <w:sz w:val="24"/>
                <w:szCs w:val="32"/>
                <w:highlight w:val="none"/>
              </w:rPr>
              <w:t>产业</w:t>
            </w:r>
            <w:r>
              <w:rPr>
                <w:rFonts w:hint="eastAsia" w:ascii="宋体" w:hAnsi="宋体" w:eastAsia="宋体" w:cs="宋体"/>
                <w:color w:val="auto"/>
                <w:sz w:val="24"/>
                <w:szCs w:val="32"/>
                <w:highlight w:val="none"/>
                <w:lang w:val="en-US" w:eastAsia="zh-CN"/>
              </w:rPr>
              <w:t>链</w:t>
            </w:r>
            <w:r>
              <w:rPr>
                <w:rFonts w:hint="eastAsia" w:ascii="宋体" w:hAnsi="宋体" w:eastAsia="宋体" w:cs="宋体"/>
                <w:color w:val="auto"/>
                <w:sz w:val="24"/>
                <w:szCs w:val="32"/>
                <w:highlight w:val="none"/>
              </w:rPr>
              <w:t>全流程，</w:t>
            </w:r>
            <w:r>
              <w:rPr>
                <w:rFonts w:hint="eastAsia" w:ascii="宋体" w:hAnsi="宋体" w:eastAsia="宋体" w:cs="宋体"/>
                <w:sz w:val="24"/>
                <w:szCs w:val="32"/>
                <w:highlight w:val="none"/>
              </w:rPr>
              <w:t>形成一支优势互补、协同发展的专业带头人队伍。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2.专业骨干教师和新任教师的培养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在专业带头人引领下，通过去合作企业挂职锻炼学习，派送教师到重点高校和国外学习，主持科研项目，参与实训基地建设、国际合作项目等加强教师培养，推进骨干教师培养工程，</w:t>
            </w:r>
            <w:r>
              <w:rPr>
                <w:rFonts w:hint="eastAsia" w:ascii="宋体" w:hAnsi="宋体" w:eastAsia="宋体" w:cs="宋体"/>
                <w:color w:val="auto"/>
                <w:sz w:val="24"/>
                <w:szCs w:val="32"/>
                <w:highlight w:val="none"/>
              </w:rPr>
              <w:t>培养3名专业知</w:t>
            </w:r>
            <w:r>
              <w:rPr>
                <w:rFonts w:hint="eastAsia" w:ascii="宋体" w:hAnsi="宋体" w:eastAsia="宋体" w:cs="宋体"/>
                <w:sz w:val="24"/>
                <w:szCs w:val="32"/>
                <w:highlight w:val="none"/>
              </w:rPr>
              <w:t>识扎实，技术服务水平高的骨干教师。在建设期内招聘新任教师4名，充分发挥骨干教师“传帮带”作用，带领青年教师成长，指导青年教师教育教学方法、进行课程资源建设，参与各类科研课题和项目，提高青年教师的实践能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3.技术技能大师的培养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紧密对接</w:t>
            </w:r>
            <w:r>
              <w:rPr>
                <w:rFonts w:hint="eastAsia" w:ascii="宋体" w:hAnsi="宋体" w:eastAsia="宋体" w:cs="宋体"/>
                <w:sz w:val="24"/>
                <w:szCs w:val="32"/>
                <w:highlight w:val="none"/>
                <w:lang w:val="en-US" w:eastAsia="zh-CN"/>
              </w:rPr>
              <w:t>电商</w:t>
            </w:r>
            <w:r>
              <w:rPr>
                <w:rFonts w:hint="eastAsia" w:ascii="宋体" w:hAnsi="宋体" w:eastAsia="宋体" w:cs="宋体"/>
                <w:sz w:val="24"/>
                <w:szCs w:val="32"/>
                <w:highlight w:val="none"/>
              </w:rPr>
              <w:t>行业创新发展新趋势，按照</w:t>
            </w:r>
            <w:r>
              <w:rPr>
                <w:rFonts w:hint="eastAsia" w:ascii="宋体" w:hAnsi="宋体" w:eastAsia="宋体" w:cs="宋体"/>
                <w:color w:val="auto"/>
                <w:sz w:val="24"/>
                <w:szCs w:val="32"/>
                <w:highlight w:val="none"/>
                <w:lang w:val="en-US" w:eastAsia="zh-CN"/>
              </w:rPr>
              <w:t>跨境电子商务</w:t>
            </w:r>
            <w:r>
              <w:rPr>
                <w:rFonts w:hint="eastAsia" w:ascii="宋体" w:hAnsi="宋体" w:eastAsia="宋体" w:cs="宋体"/>
                <w:color w:val="auto"/>
                <w:sz w:val="24"/>
                <w:szCs w:val="32"/>
                <w:highlight w:val="none"/>
              </w:rPr>
              <w:t>专业核心岗位的需要，聘用集生产、管理、</w:t>
            </w:r>
            <w:r>
              <w:rPr>
                <w:rFonts w:hint="eastAsia" w:ascii="宋体" w:hAnsi="宋体" w:eastAsia="宋体" w:cs="宋体"/>
                <w:color w:val="auto"/>
                <w:sz w:val="24"/>
                <w:szCs w:val="32"/>
                <w:highlight w:val="none"/>
                <w:lang w:val="en-US" w:eastAsia="zh-CN"/>
              </w:rPr>
              <w:t>销售、</w:t>
            </w:r>
            <w:r>
              <w:rPr>
                <w:rFonts w:hint="eastAsia" w:ascii="宋体" w:hAnsi="宋体" w:eastAsia="宋体" w:cs="宋体"/>
                <w:color w:val="auto"/>
                <w:sz w:val="24"/>
                <w:szCs w:val="32"/>
                <w:highlight w:val="none"/>
              </w:rPr>
              <w:t>服务</w:t>
            </w:r>
            <w:r>
              <w:rPr>
                <w:rFonts w:hint="eastAsia" w:ascii="宋体" w:hAnsi="宋体" w:eastAsia="宋体" w:cs="宋体"/>
                <w:color w:val="auto"/>
                <w:sz w:val="24"/>
                <w:szCs w:val="32"/>
                <w:highlight w:val="none"/>
                <w:lang w:val="en-US" w:eastAsia="zh-CN"/>
              </w:rPr>
              <w:t>于</w:t>
            </w:r>
            <w:r>
              <w:rPr>
                <w:rFonts w:hint="eastAsia" w:ascii="宋体" w:hAnsi="宋体" w:eastAsia="宋体" w:cs="宋体"/>
                <w:color w:val="auto"/>
                <w:sz w:val="24"/>
                <w:szCs w:val="32"/>
                <w:highlight w:val="none"/>
              </w:rPr>
              <w:t>一线的2名技术技能人才作</w:t>
            </w:r>
            <w:r>
              <w:rPr>
                <w:rFonts w:hint="eastAsia" w:ascii="宋体" w:hAnsi="宋体" w:eastAsia="宋体" w:cs="宋体"/>
                <w:sz w:val="24"/>
                <w:szCs w:val="32"/>
                <w:highlight w:val="none"/>
              </w:rPr>
              <w:t>为客座专家，成立技能大师工作室1个，整合行业、企业资源与校内骨干教师共建核心课程，提升专业教师团队实力。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4.双师型教师的培养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以</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color w:val="auto"/>
                <w:sz w:val="24"/>
                <w:szCs w:val="32"/>
                <w:highlight w:val="none"/>
              </w:rPr>
              <w:t>产业链为</w:t>
            </w:r>
            <w:r>
              <w:rPr>
                <w:rFonts w:hint="eastAsia" w:ascii="宋体" w:hAnsi="宋体" w:eastAsia="宋体" w:cs="宋体"/>
                <w:sz w:val="24"/>
                <w:szCs w:val="32"/>
                <w:highlight w:val="none"/>
              </w:rPr>
              <w:t>引领，与九州通新疆公司、</w:t>
            </w:r>
            <w:r>
              <w:rPr>
                <w:rFonts w:hint="eastAsia" w:ascii="宋体" w:hAnsi="宋体" w:eastAsia="宋体" w:cs="宋体"/>
                <w:sz w:val="24"/>
                <w:szCs w:val="32"/>
                <w:highlight w:val="none"/>
                <w:lang w:val="en-US" w:eastAsia="zh-CN"/>
              </w:rPr>
              <w:t>天猫、新疆亚欧</w:t>
            </w:r>
            <w:r>
              <w:rPr>
                <w:rFonts w:hint="eastAsia" w:ascii="宋体" w:hAnsi="宋体" w:eastAsia="宋体" w:cs="宋体"/>
                <w:sz w:val="24"/>
                <w:szCs w:val="32"/>
                <w:highlight w:val="none"/>
              </w:rPr>
              <w:t>等企业合作，依托援疆院校，校企共建师资培养平台，提升教师团队技术服务能力，健全校企联合培养机制，开展专任教师3年一周期的企业实践或每年至少2个月的企业实践，提升专任教师的企业实践能力，建设双师结构专任教师团队，建设期满双师素质比例达到70%以上。</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5.兼职教师的培养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根据</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color w:val="auto"/>
                <w:sz w:val="24"/>
                <w:szCs w:val="32"/>
                <w:highlight w:val="none"/>
              </w:rPr>
              <w:t>产业链</w:t>
            </w:r>
            <w:r>
              <w:rPr>
                <w:rFonts w:hint="eastAsia" w:ascii="宋体" w:hAnsi="宋体" w:eastAsia="宋体" w:cs="宋体"/>
                <w:sz w:val="24"/>
                <w:szCs w:val="32"/>
                <w:highlight w:val="none"/>
              </w:rPr>
              <w:t>重构课程体系核心课程的教学需要，进行产业链核心技术创新推广、职业岗位人才培养，全面建成兼职教师信息平台，实现兼职教师信息化管理、动态管理，扩展兼职教师库人数达到20人，其中具有较强社会影响力的行业专家占比20%，能够长期稳定承担教学工作量的企业兼职教师团队。</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（五）实习实训基地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根据</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color w:val="auto"/>
                <w:sz w:val="24"/>
                <w:szCs w:val="32"/>
                <w:highlight w:val="none"/>
              </w:rPr>
              <w:t>产业链核</w:t>
            </w:r>
            <w:r>
              <w:rPr>
                <w:rFonts w:hint="eastAsia" w:ascii="宋体" w:hAnsi="宋体" w:eastAsia="宋体" w:cs="宋体"/>
                <w:sz w:val="24"/>
                <w:szCs w:val="32"/>
                <w:highlight w:val="none"/>
              </w:rPr>
              <w:t>心技术发展需要，升级改造、扩建、新</w:t>
            </w:r>
            <w:r>
              <w:rPr>
                <w:rFonts w:hint="eastAsia" w:ascii="宋体" w:hAnsi="宋体" w:eastAsia="宋体" w:cs="宋体"/>
                <w:color w:val="auto"/>
                <w:sz w:val="24"/>
                <w:szCs w:val="32"/>
                <w:highlight w:val="none"/>
              </w:rPr>
              <w:t>建一批对接产业全流程的实训设备和设施，使专业实训条件紧跟生产发展技术革新</w:t>
            </w:r>
            <w:r>
              <w:rPr>
                <w:rFonts w:hint="eastAsia" w:ascii="宋体" w:hAnsi="宋体" w:eastAsia="宋体" w:cs="宋体"/>
                <w:sz w:val="24"/>
                <w:szCs w:val="32"/>
                <w:highlight w:val="none"/>
              </w:rPr>
              <w:t>，创设浓郁职业环境和文化氛围，拓展学生校外实习实训岗位，与合作企业共享集教学、生产、</w:t>
            </w:r>
            <w:r>
              <w:rPr>
                <w:rFonts w:hint="eastAsia" w:ascii="宋体" w:hAnsi="宋体" w:eastAsia="宋体" w:cs="宋体"/>
                <w:sz w:val="24"/>
                <w:szCs w:val="32"/>
                <w:highlight w:val="none"/>
                <w:lang w:val="en-US" w:eastAsia="zh-CN"/>
              </w:rPr>
              <w:t>零售、</w:t>
            </w:r>
            <w:r>
              <w:rPr>
                <w:rFonts w:hint="eastAsia" w:ascii="宋体" w:hAnsi="宋体" w:eastAsia="宋体" w:cs="宋体"/>
                <w:sz w:val="24"/>
                <w:szCs w:val="32"/>
                <w:highlight w:val="none"/>
              </w:rPr>
              <w:t>科研、技术服务、对外培训、技能大赛、创新创业为一体的实训基地。</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1.校内实训基地建设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宋体" w:hAnsi="宋体" w:eastAsia="宋体" w:cs="宋体"/>
                <w:sz w:val="24"/>
                <w:szCs w:val="24"/>
                <w:highlight w:val="none"/>
                <w:lang w:eastAsia="zh-CN"/>
              </w:rPr>
            </w:pPr>
            <w:r>
              <w:rPr>
                <w:rFonts w:hint="default" w:ascii="宋体" w:hAnsi="宋体" w:eastAsia="宋体" w:cs="宋体"/>
                <w:sz w:val="24"/>
                <w:szCs w:val="24"/>
                <w:highlight w:val="none"/>
                <w:lang w:eastAsia="zh-CN"/>
              </w:rPr>
              <w:t>专业群现建有1栋综合实训楼</w:t>
            </w:r>
            <w:r>
              <w:rPr>
                <w:rFonts w:hint="eastAsia" w:ascii="宋体" w:hAnsi="宋体" w:cs="宋体"/>
                <w:sz w:val="24"/>
                <w:szCs w:val="24"/>
                <w:highlight w:val="none"/>
                <w:lang w:eastAsia="zh-CN"/>
              </w:rPr>
              <w:t>，</w:t>
            </w:r>
            <w:r>
              <w:rPr>
                <w:rFonts w:hint="default" w:ascii="宋体" w:hAnsi="宋体" w:eastAsia="宋体" w:cs="宋体"/>
                <w:sz w:val="24"/>
                <w:szCs w:val="24"/>
                <w:highlight w:val="none"/>
                <w:lang w:eastAsia="zh-CN"/>
              </w:rPr>
              <w:t>积极引进菜鸟、天猫、亚欧3个企业入驻校园，已与浙江菜鸟供应链管理有限公司、亚欧国际物资交易中心共建跨境电商</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新零售</w:t>
            </w:r>
            <w:r>
              <w:rPr>
                <w:rFonts w:hint="default" w:ascii="宋体" w:hAnsi="宋体" w:eastAsia="宋体" w:cs="宋体"/>
                <w:sz w:val="24"/>
                <w:szCs w:val="24"/>
                <w:highlight w:val="none"/>
                <w:lang w:eastAsia="zh-CN"/>
              </w:rPr>
              <w:t>两个校内生产性实践实训基地，引入企业投资1100万元。</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2.校外实习基地建设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32"/>
                <w:highlight w:val="none"/>
              </w:rPr>
              <w:t>通过校企共建，制订产教融合校外实践教学基地建设方案，成立产教融合实训基地理事会，</w:t>
            </w:r>
            <w:r>
              <w:rPr>
                <w:rFonts w:hint="eastAsia" w:ascii="宋体" w:hAnsi="宋体" w:eastAsia="宋体" w:cs="宋体"/>
                <w:sz w:val="24"/>
                <w:szCs w:val="24"/>
                <w:highlight w:val="none"/>
                <w:lang w:eastAsia="zh-CN"/>
              </w:rPr>
              <w:t>学院选取覆盖新疆“一核两区”的典型企业作为校外实习基地，与</w:t>
            </w:r>
            <w:r>
              <w:rPr>
                <w:rFonts w:hint="eastAsia" w:ascii="宋体" w:hAnsi="宋体" w:eastAsia="宋体" w:cs="宋体"/>
                <w:sz w:val="24"/>
                <w:szCs w:val="24"/>
                <w:highlight w:val="none"/>
                <w:lang w:val="en-US" w:eastAsia="zh-CN"/>
              </w:rPr>
              <w:t>浙江菜鸟供应链管理有限公司（西北大区）</w:t>
            </w:r>
            <w:r>
              <w:rPr>
                <w:rFonts w:hint="eastAsia" w:ascii="宋体" w:hAnsi="宋体" w:eastAsia="宋体" w:cs="宋体"/>
                <w:sz w:val="24"/>
                <w:szCs w:val="24"/>
                <w:highlight w:val="none"/>
                <w:lang w:eastAsia="zh-CN"/>
              </w:rPr>
              <w:t>、中国供销集团中亚金谷国际物流园、奎屯保税物流中心、</w:t>
            </w:r>
            <w:r>
              <w:rPr>
                <w:rFonts w:hint="eastAsia" w:ascii="宋体" w:hAnsi="宋体" w:eastAsia="宋体" w:cs="宋体"/>
                <w:sz w:val="24"/>
                <w:szCs w:val="24"/>
                <w:highlight w:val="none"/>
                <w:lang w:val="en-US" w:eastAsia="zh-CN"/>
              </w:rPr>
              <w:t>新疆天顺供应链集团公司</w:t>
            </w:r>
            <w:r>
              <w:rPr>
                <w:rFonts w:hint="eastAsia" w:ascii="宋体" w:hAnsi="宋体" w:eastAsia="宋体" w:cs="宋体"/>
                <w:sz w:val="24"/>
                <w:szCs w:val="24"/>
                <w:highlight w:val="none"/>
                <w:lang w:eastAsia="zh-CN"/>
              </w:rPr>
              <w:t>等企业共建1</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个校外实习基地，完全满足了学生校外实习实训的要求。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（六）技术技能平台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联合新疆</w:t>
            </w:r>
            <w:r>
              <w:rPr>
                <w:rFonts w:hint="eastAsia" w:ascii="宋体" w:hAnsi="宋体" w:eastAsia="宋体" w:cs="宋体"/>
                <w:sz w:val="24"/>
                <w:szCs w:val="32"/>
                <w:highlight w:val="none"/>
                <w:lang w:val="en-US" w:eastAsia="zh-CN"/>
              </w:rPr>
              <w:t>亚欧物资交易有限公司</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菜鸟</w:t>
            </w:r>
            <w:r>
              <w:rPr>
                <w:rFonts w:hint="eastAsia" w:ascii="宋体" w:hAnsi="宋体" w:eastAsia="宋体" w:cs="宋体"/>
                <w:sz w:val="24"/>
                <w:szCs w:val="32"/>
                <w:highlight w:val="none"/>
              </w:rPr>
              <w:t>、</w:t>
            </w:r>
            <w:r>
              <w:rPr>
                <w:rFonts w:hint="eastAsia" w:ascii="宋体" w:hAnsi="宋体" w:eastAsia="宋体" w:cs="宋体"/>
                <w:sz w:val="24"/>
                <w:szCs w:val="32"/>
                <w:highlight w:val="none"/>
                <w:lang w:val="en-US" w:eastAsia="zh-CN"/>
              </w:rPr>
              <w:t>天猫</w:t>
            </w:r>
            <w:r>
              <w:rPr>
                <w:rFonts w:hint="eastAsia" w:ascii="宋体" w:hAnsi="宋体" w:eastAsia="宋体" w:cs="宋体"/>
                <w:sz w:val="24"/>
                <w:szCs w:val="32"/>
                <w:highlight w:val="none"/>
              </w:rPr>
              <w:t>等企业校企共建技能实践基地。力争建设期内将其打造成为集教学、生产、</w:t>
            </w:r>
            <w:r>
              <w:rPr>
                <w:rFonts w:hint="eastAsia" w:ascii="宋体" w:hAnsi="宋体" w:eastAsia="宋体" w:cs="宋体"/>
                <w:sz w:val="24"/>
                <w:szCs w:val="32"/>
                <w:highlight w:val="none"/>
                <w:lang w:val="en-US" w:eastAsia="zh-CN"/>
              </w:rPr>
              <w:t>零售、</w:t>
            </w:r>
            <w:r>
              <w:rPr>
                <w:rFonts w:hint="eastAsia" w:ascii="宋体" w:hAnsi="宋体" w:eastAsia="宋体" w:cs="宋体"/>
                <w:sz w:val="24"/>
                <w:szCs w:val="32"/>
                <w:highlight w:val="none"/>
              </w:rPr>
              <w:t>科研、技能大赛、社会服务于一体的具有地方特色的开放型区域产教融合。</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1.搭建</w:t>
            </w:r>
            <w:r>
              <w:rPr>
                <w:rFonts w:hint="eastAsia" w:ascii="宋体" w:hAnsi="宋体" w:eastAsia="宋体" w:cs="宋体"/>
                <w:b/>
                <w:bCs/>
                <w:sz w:val="24"/>
                <w:szCs w:val="32"/>
                <w:highlight w:val="none"/>
                <w:lang w:eastAsia="zh-CN"/>
              </w:rPr>
              <w:t>跨境电子商务</w:t>
            </w:r>
            <w:r>
              <w:rPr>
                <w:rFonts w:hint="eastAsia" w:ascii="宋体" w:hAnsi="宋体" w:eastAsia="宋体" w:cs="宋体"/>
                <w:b/>
                <w:bCs/>
                <w:sz w:val="24"/>
                <w:szCs w:val="32"/>
                <w:highlight w:val="none"/>
              </w:rPr>
              <w:t>人才培养平台，服务</w:t>
            </w:r>
            <w:r>
              <w:rPr>
                <w:rFonts w:hint="eastAsia" w:ascii="宋体" w:hAnsi="宋体" w:eastAsia="宋体" w:cs="宋体"/>
                <w:b/>
                <w:bCs/>
                <w:sz w:val="24"/>
                <w:szCs w:val="32"/>
                <w:highlight w:val="none"/>
                <w:lang w:val="en-US" w:eastAsia="zh-CN"/>
              </w:rPr>
              <w:t>跨境电商</w:t>
            </w:r>
            <w:r>
              <w:rPr>
                <w:rFonts w:hint="eastAsia" w:ascii="宋体" w:hAnsi="宋体" w:eastAsia="宋体" w:cs="宋体"/>
                <w:b/>
                <w:bCs/>
                <w:sz w:val="24"/>
                <w:szCs w:val="32"/>
                <w:highlight w:val="none"/>
              </w:rPr>
              <w:t>产业链发展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sz w:val="24"/>
                <w:szCs w:val="32"/>
                <w:highlight w:val="none"/>
              </w:rPr>
              <w:t>汇聚多方合力、配套各类资源服</w:t>
            </w:r>
            <w:r>
              <w:rPr>
                <w:rFonts w:hint="eastAsia" w:ascii="宋体" w:hAnsi="宋体" w:eastAsia="宋体" w:cs="宋体"/>
                <w:color w:val="auto"/>
                <w:sz w:val="24"/>
                <w:szCs w:val="32"/>
                <w:highlight w:val="none"/>
              </w:rPr>
              <w:t>务新疆</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color w:val="auto"/>
                <w:sz w:val="24"/>
                <w:szCs w:val="32"/>
                <w:highlight w:val="none"/>
              </w:rPr>
              <w:t>产</w:t>
            </w:r>
            <w:r>
              <w:rPr>
                <w:rFonts w:hint="eastAsia" w:ascii="宋体" w:hAnsi="宋体" w:eastAsia="宋体" w:cs="宋体"/>
                <w:sz w:val="24"/>
                <w:szCs w:val="32"/>
                <w:highlight w:val="none"/>
              </w:rPr>
              <w:t>业发展。中心满足“1+X”证书制度对软硬件的环境需要</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为学生参加</w:t>
            </w:r>
            <w:r>
              <w:rPr>
                <w:rFonts w:hint="eastAsia" w:ascii="宋体" w:hAnsi="宋体" w:eastAsia="宋体" w:cs="宋体"/>
                <w:sz w:val="24"/>
                <w:szCs w:val="32"/>
                <w:highlight w:val="none"/>
                <w:lang w:val="en-US" w:eastAsia="zh-CN"/>
              </w:rPr>
              <w:t>电商类</w:t>
            </w:r>
            <w:r>
              <w:rPr>
                <w:rFonts w:hint="eastAsia" w:ascii="宋体" w:hAnsi="宋体" w:eastAsia="宋体" w:cs="宋体"/>
                <w:sz w:val="24"/>
                <w:szCs w:val="32"/>
                <w:highlight w:val="none"/>
              </w:rPr>
              <w:t>技能竞赛提供训练场地的同时具备承办校级、区级技能竞赛的功能。面向行业企业开放，协助解决企业技术难题，促进成果转化，校企价值共享。鼓励企业的产品设计、技术研发落地实施并吸引关联企业技术能手、大国工匠、劳动模范建立多层次、多类型的工作室。在此平台建设的基础上，选择2-3家优秀企业进行深度合作，将人才培养、技术创新、社会服务、就业创业、文化传承等融合一体，</w:t>
            </w:r>
            <w:r>
              <w:rPr>
                <w:rFonts w:hint="eastAsia" w:ascii="宋体" w:hAnsi="宋体" w:eastAsia="宋体" w:cs="宋体"/>
                <w:sz w:val="24"/>
                <w:szCs w:val="32"/>
                <w:highlight w:val="none"/>
                <w:lang w:val="en-US" w:eastAsia="zh-CN"/>
              </w:rPr>
              <w:t>着力</w:t>
            </w:r>
            <w:r>
              <w:rPr>
                <w:rFonts w:hint="eastAsia" w:ascii="宋体" w:hAnsi="宋体" w:eastAsia="宋体" w:cs="宋体"/>
                <w:sz w:val="24"/>
                <w:szCs w:val="32"/>
                <w:highlight w:val="none"/>
              </w:rPr>
              <w:t>推进以</w:t>
            </w:r>
            <w:r>
              <w:rPr>
                <w:rFonts w:hint="eastAsia" w:ascii="宋体" w:hAnsi="宋体" w:eastAsia="宋体" w:cs="宋体"/>
                <w:color w:val="auto"/>
                <w:sz w:val="24"/>
                <w:szCs w:val="32"/>
                <w:highlight w:val="none"/>
                <w:lang w:val="en-US" w:eastAsia="zh-CN"/>
              </w:rPr>
              <w:t>跨境电商产业学院</w:t>
            </w:r>
            <w:r>
              <w:rPr>
                <w:rFonts w:hint="eastAsia" w:ascii="宋体" w:hAnsi="宋体" w:eastAsia="宋体" w:cs="宋体"/>
                <w:color w:val="auto"/>
                <w:sz w:val="24"/>
                <w:szCs w:val="32"/>
                <w:highlight w:val="none"/>
              </w:rPr>
              <w:t>为纽带的校企命运共同体建设。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2.搭建创新创业孵化平台，推动人工智能应用与创新研究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sz w:val="24"/>
                <w:szCs w:val="32"/>
                <w:highlight w:val="none"/>
              </w:rPr>
              <w:t>依托新疆天顺供应链集团公司、京东新疆公司、</w:t>
            </w:r>
            <w:r>
              <w:rPr>
                <w:rFonts w:hint="eastAsia" w:ascii="宋体" w:hAnsi="宋体" w:eastAsia="宋体" w:cs="宋体"/>
                <w:sz w:val="24"/>
                <w:szCs w:val="32"/>
                <w:highlight w:val="none"/>
                <w:lang w:val="en-US" w:eastAsia="zh-CN"/>
              </w:rPr>
              <w:t>天猫校园</w:t>
            </w:r>
            <w:r>
              <w:rPr>
                <w:rFonts w:hint="eastAsia" w:ascii="宋体" w:hAnsi="宋体" w:eastAsia="宋体" w:cs="宋体"/>
                <w:sz w:val="24"/>
                <w:szCs w:val="32"/>
                <w:highlight w:val="none"/>
              </w:rPr>
              <w:t>、新疆亚欧国际物资交易所等企业深度合作，整合校企资源，建设以区域需求为导向、以企业为主体、以培养学生创新能力为核心的创新创业孵化平台。紧跟智慧供应链发展趋势，开展供应链技术推广、创新成果转化、技能大师培育等创新实践研究，加强创新开放合作，打造服务区域产业的创新高地，持续深入推进大众创业万众创新，培养具备</w:t>
            </w:r>
            <w:r>
              <w:rPr>
                <w:rFonts w:hint="eastAsia" w:ascii="宋体" w:hAnsi="宋体" w:eastAsia="宋体" w:cs="宋体"/>
                <w:color w:val="auto"/>
                <w:sz w:val="24"/>
                <w:szCs w:val="32"/>
                <w:highlight w:val="none"/>
                <w:lang w:val="en-US" w:eastAsia="zh-CN"/>
              </w:rPr>
              <w:t>跨境电商平台使用、推广等能力</w:t>
            </w:r>
            <w:r>
              <w:rPr>
                <w:rFonts w:hint="eastAsia" w:ascii="宋体" w:hAnsi="宋体" w:eastAsia="宋体" w:cs="宋体"/>
                <w:color w:val="auto"/>
                <w:sz w:val="24"/>
                <w:szCs w:val="32"/>
                <w:highlight w:val="none"/>
              </w:rPr>
              <w:t>的创新型人才，促进专业建设高质量发展。</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（七）专业建设质量保障机制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1.完善专业质量保障机制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lang w:val="en-US" w:eastAsia="zh-CN"/>
              </w:rPr>
              <w:t>建立健全</w:t>
            </w:r>
            <w:r>
              <w:rPr>
                <w:rFonts w:hint="eastAsia" w:ascii="宋体" w:hAnsi="宋体" w:eastAsia="宋体" w:cs="宋体"/>
                <w:sz w:val="24"/>
                <w:szCs w:val="32"/>
                <w:highlight w:val="none"/>
              </w:rPr>
              <w:t>包括专业建设领导责任制和“目标责任书”制度，做到组织落实、人员落实、责任落实、奖惩落实</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加强项目过程管理，建立常规检查与督促机制，对项目实施过程中出现的各种问题，做到及时发现、诊改</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建立实施质量年度报告制度，及时通报和公开专业建设的实施情况。以奋斗者为本，建立改革容错纠错机制，保护和调动教师干事创新的积极性，营造敢于担当、合理容错的良好氛围，进一步激发教师改革活力。</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2.健全专业资源共享机制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健全专业课程、专兼职教师、校内外实习实训基地和校企合作单位等专业资源共享机制，促进专业资源共享，不断提高专业内涵建设水平，实现专业内资源集约化利用、同频共振、协调发展</w:t>
            </w:r>
            <w:r>
              <w:rPr>
                <w:rFonts w:hint="eastAsia" w:ascii="宋体" w:hAnsi="宋体" w:eastAsia="宋体" w:cs="宋体"/>
                <w:sz w:val="24"/>
                <w:szCs w:val="32"/>
                <w:highlight w:val="none"/>
                <w:lang w:eastAsia="zh-CN"/>
              </w:rPr>
              <w:t>。</w:t>
            </w:r>
            <w:r>
              <w:rPr>
                <w:rFonts w:hint="eastAsia" w:ascii="宋体" w:hAnsi="宋体" w:eastAsia="宋体" w:cs="宋体"/>
                <w:sz w:val="24"/>
                <w:szCs w:val="32"/>
                <w:highlight w:val="none"/>
              </w:rPr>
              <w:t>借鉴发达国家经验，提高专业实训基地的社会效益和经济效益，创新实训基地共享运营模式。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sz w:val="24"/>
                <w:szCs w:val="32"/>
                <w:highlight w:val="none"/>
              </w:rPr>
            </w:pPr>
            <w:r>
              <w:rPr>
                <w:rFonts w:hint="eastAsia" w:ascii="宋体" w:hAnsi="宋体" w:eastAsia="宋体" w:cs="宋体"/>
                <w:b/>
                <w:bCs/>
                <w:sz w:val="24"/>
                <w:szCs w:val="32"/>
                <w:highlight w:val="none"/>
              </w:rPr>
              <w:t>3.建立沟通协调机制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sz w:val="24"/>
                <w:szCs w:val="32"/>
                <w:highlight w:val="none"/>
              </w:rPr>
            </w:pPr>
            <w:r>
              <w:rPr>
                <w:rFonts w:hint="eastAsia" w:ascii="宋体" w:hAnsi="宋体" w:eastAsia="宋体" w:cs="宋体"/>
                <w:sz w:val="24"/>
                <w:szCs w:val="32"/>
                <w:highlight w:val="none"/>
              </w:rPr>
              <w:t>建立核心合作企业、专业各教研室、产业学院（联盟）、创新中心、工作室等平台例会制度，通过例会互通信息，沟通协商，定期分析、研究形势和存在的问题，及时调整各方利益关系，以经常性互动、对话、协商的方式推动产教融合的持久深入发展。着眼区域沿线国家和国内</w:t>
            </w:r>
            <w:r>
              <w:rPr>
                <w:rFonts w:hint="eastAsia" w:ascii="宋体" w:hAnsi="宋体" w:eastAsia="宋体" w:cs="宋体"/>
                <w:color w:val="auto"/>
                <w:sz w:val="24"/>
                <w:szCs w:val="32"/>
                <w:highlight w:val="none"/>
              </w:rPr>
              <w:t>外</w:t>
            </w:r>
            <w:r>
              <w:rPr>
                <w:rFonts w:hint="eastAsia" w:ascii="宋体" w:hAnsi="宋体" w:eastAsia="宋体" w:cs="宋体"/>
                <w:color w:val="auto"/>
                <w:sz w:val="24"/>
                <w:szCs w:val="32"/>
                <w:highlight w:val="none"/>
                <w:lang w:val="en-US" w:eastAsia="zh-CN"/>
              </w:rPr>
              <w:t>跨境电商</w:t>
            </w:r>
            <w:r>
              <w:rPr>
                <w:rFonts w:hint="eastAsia" w:ascii="宋体" w:hAnsi="宋体" w:eastAsia="宋体" w:cs="宋体"/>
                <w:sz w:val="24"/>
                <w:szCs w:val="32"/>
                <w:highlight w:val="none"/>
              </w:rPr>
              <w:t>产业调整和变化，促进供给侧对接和人才培养流程再造。</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562" w:firstLineChars="200"/>
              <w:textAlignment w:val="auto"/>
              <w:rPr>
                <w:rFonts w:hint="eastAsia" w:ascii="黑体" w:hAnsi="黑体" w:eastAsia="黑体" w:cs="黑体"/>
                <w:b/>
                <w:bCs/>
                <w:sz w:val="28"/>
                <w:szCs w:val="28"/>
                <w:highlight w:val="none"/>
              </w:rPr>
            </w:pPr>
            <w:r>
              <w:rPr>
                <w:rFonts w:hint="eastAsia" w:ascii="黑体" w:hAnsi="黑体" w:eastAsia="黑体" w:cs="黑体"/>
                <w:b/>
                <w:bCs/>
                <w:sz w:val="28"/>
                <w:szCs w:val="28"/>
                <w:highlight w:val="none"/>
                <w:lang w:val="en-US" w:eastAsia="zh-CN"/>
              </w:rPr>
              <w:t>五、</w:t>
            </w:r>
            <w:r>
              <w:rPr>
                <w:rFonts w:hint="eastAsia" w:ascii="黑体" w:hAnsi="黑体" w:eastAsia="黑体" w:cs="黑体"/>
                <w:b/>
                <w:bCs/>
                <w:sz w:val="28"/>
                <w:szCs w:val="28"/>
                <w:highlight w:val="none"/>
              </w:rPr>
              <w:t>经费投入计划</w:t>
            </w:r>
          </w:p>
          <w:tbl>
            <w:tblPr>
              <w:tblStyle w:val="12"/>
              <w:tblW w:w="8805"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8"/>
              <w:gridCol w:w="988"/>
              <w:gridCol w:w="967"/>
              <w:gridCol w:w="1076"/>
              <w:gridCol w:w="946"/>
              <w:gridCol w:w="1195"/>
              <w:gridCol w:w="1195"/>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vMerge w:val="restart"/>
                  <w:tcBorders>
                    <w:top w:val="double" w:color="auto" w:sz="4" w:space="0"/>
                    <w:left w:val="single" w:color="auto" w:sz="4" w:space="0"/>
                  </w:tcBorders>
                  <w:vAlign w:val="center"/>
                </w:tcPr>
                <w:p>
                  <w:pPr>
                    <w:rPr>
                      <w:rFonts w:hint="eastAsia"/>
                      <w:highlight w:val="none"/>
                    </w:rPr>
                  </w:pPr>
                  <w:r>
                    <w:rPr>
                      <w:rFonts w:hint="eastAsia"/>
                      <w:highlight w:val="none"/>
                    </w:rPr>
                    <w:t>建设内容</w:t>
                  </w:r>
                </w:p>
              </w:tc>
              <w:tc>
                <w:tcPr>
                  <w:tcW w:w="3977" w:type="dxa"/>
                  <w:gridSpan w:val="4"/>
                  <w:tcBorders>
                    <w:top w:val="double" w:color="auto" w:sz="4" w:space="0"/>
                  </w:tcBorders>
                  <w:vAlign w:val="center"/>
                </w:tcPr>
                <w:p>
                  <w:pPr>
                    <w:rPr>
                      <w:rFonts w:hint="eastAsia"/>
                      <w:highlight w:val="none"/>
                    </w:rPr>
                  </w:pPr>
                  <w:r>
                    <w:rPr>
                      <w:rFonts w:hint="eastAsia"/>
                      <w:highlight w:val="none"/>
                    </w:rPr>
                    <w:t>年度经费投入（单位：万元）</w:t>
                  </w:r>
                </w:p>
              </w:tc>
              <w:tc>
                <w:tcPr>
                  <w:tcW w:w="1195" w:type="dxa"/>
                  <w:tcBorders>
                    <w:top w:val="double" w:color="auto" w:sz="4" w:space="0"/>
                    <w:right w:val="single" w:color="auto" w:sz="4" w:space="0"/>
                  </w:tcBorders>
                  <w:vAlign w:val="center"/>
                </w:tcPr>
                <w:p>
                  <w:pPr>
                    <w:rPr>
                      <w:rFonts w:hint="eastAsia"/>
                      <w:highlight w:val="none"/>
                    </w:rPr>
                  </w:pPr>
                  <w:r>
                    <w:rPr>
                      <w:rFonts w:hint="eastAsia"/>
                      <w:highlight w:val="none"/>
                    </w:rPr>
                    <w:t>小计</w:t>
                  </w:r>
                </w:p>
              </w:tc>
              <w:tc>
                <w:tcPr>
                  <w:tcW w:w="1195" w:type="dxa"/>
                  <w:tcBorders>
                    <w:top w:val="double" w:color="auto" w:sz="4" w:space="0"/>
                    <w:right w:val="single" w:color="auto" w:sz="4" w:space="0"/>
                  </w:tcBorders>
                  <w:vAlign w:val="center"/>
                </w:tcPr>
                <w:p>
                  <w:pPr>
                    <w:rPr>
                      <w:rFonts w:hint="eastAsia"/>
                      <w:highlight w:val="none"/>
                      <w:lang w:val="en-US" w:eastAsia="zh-CN"/>
                    </w:rPr>
                  </w:pPr>
                  <w:r>
                    <w:rPr>
                      <w:rFonts w:hint="eastAsia"/>
                      <w:highlight w:val="none"/>
                      <w:lang w:val="en-US" w:eastAsia="zh-CN"/>
                    </w:rPr>
                    <w:t>备注</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vMerge w:val="continue"/>
                  <w:tcBorders>
                    <w:left w:val="single" w:color="auto" w:sz="4" w:space="0"/>
                  </w:tcBorders>
                  <w:vAlign w:val="center"/>
                </w:tcPr>
                <w:p>
                  <w:pPr>
                    <w:rPr>
                      <w:rFonts w:hint="eastAsia"/>
                      <w:highlight w:val="none"/>
                    </w:rPr>
                  </w:pPr>
                </w:p>
              </w:tc>
              <w:tc>
                <w:tcPr>
                  <w:tcW w:w="988" w:type="dxa"/>
                  <w:vAlign w:val="center"/>
                </w:tcPr>
                <w:p>
                  <w:pPr>
                    <w:rPr>
                      <w:rFonts w:hint="eastAsia"/>
                      <w:highlight w:val="none"/>
                    </w:rPr>
                  </w:pPr>
                  <w:r>
                    <w:rPr>
                      <w:rFonts w:hint="eastAsia"/>
                      <w:highlight w:val="none"/>
                      <w:lang w:val="en-US" w:eastAsia="zh-CN"/>
                    </w:rPr>
                    <w:t>2025</w:t>
                  </w:r>
                  <w:r>
                    <w:rPr>
                      <w:rFonts w:hint="eastAsia"/>
                      <w:highlight w:val="none"/>
                    </w:rPr>
                    <w:t>年</w:t>
                  </w:r>
                </w:p>
              </w:tc>
              <w:tc>
                <w:tcPr>
                  <w:tcW w:w="967" w:type="dxa"/>
                  <w:vAlign w:val="center"/>
                </w:tcPr>
                <w:p>
                  <w:pPr>
                    <w:rPr>
                      <w:rFonts w:hint="eastAsia"/>
                      <w:highlight w:val="none"/>
                    </w:rPr>
                  </w:pPr>
                  <w:r>
                    <w:rPr>
                      <w:rFonts w:hint="eastAsia"/>
                      <w:highlight w:val="none"/>
                    </w:rPr>
                    <w:t>202</w:t>
                  </w:r>
                  <w:r>
                    <w:rPr>
                      <w:rFonts w:hint="eastAsia"/>
                      <w:highlight w:val="none"/>
                      <w:lang w:val="en-US" w:eastAsia="zh-CN"/>
                    </w:rPr>
                    <w:t>6</w:t>
                  </w:r>
                  <w:r>
                    <w:rPr>
                      <w:rFonts w:hint="eastAsia"/>
                      <w:highlight w:val="none"/>
                    </w:rPr>
                    <w:t>年</w:t>
                  </w:r>
                </w:p>
              </w:tc>
              <w:tc>
                <w:tcPr>
                  <w:tcW w:w="1076" w:type="dxa"/>
                  <w:vAlign w:val="center"/>
                </w:tcPr>
                <w:p>
                  <w:pPr>
                    <w:rPr>
                      <w:rFonts w:hint="eastAsia"/>
                      <w:highlight w:val="none"/>
                    </w:rPr>
                  </w:pPr>
                  <w:r>
                    <w:rPr>
                      <w:rFonts w:hint="eastAsia"/>
                      <w:highlight w:val="none"/>
                    </w:rPr>
                    <w:t>202</w:t>
                  </w:r>
                  <w:r>
                    <w:rPr>
                      <w:rFonts w:hint="eastAsia"/>
                      <w:highlight w:val="none"/>
                      <w:lang w:val="en-US" w:eastAsia="zh-CN"/>
                    </w:rPr>
                    <w:t>7</w:t>
                  </w:r>
                  <w:r>
                    <w:rPr>
                      <w:rFonts w:hint="eastAsia"/>
                      <w:highlight w:val="none"/>
                    </w:rPr>
                    <w:t>年</w:t>
                  </w:r>
                </w:p>
              </w:tc>
              <w:tc>
                <w:tcPr>
                  <w:tcW w:w="946" w:type="dxa"/>
                  <w:vAlign w:val="center"/>
                </w:tcPr>
                <w:p>
                  <w:pPr>
                    <w:rPr>
                      <w:rFonts w:hint="eastAsia"/>
                      <w:highlight w:val="none"/>
                    </w:rPr>
                  </w:pPr>
                  <w:r>
                    <w:rPr>
                      <w:rFonts w:hint="eastAsia"/>
                      <w:highlight w:val="none"/>
                    </w:rPr>
                    <w:t>202</w:t>
                  </w:r>
                  <w:r>
                    <w:rPr>
                      <w:rFonts w:hint="eastAsia"/>
                      <w:highlight w:val="none"/>
                      <w:lang w:val="en-US" w:eastAsia="zh-CN"/>
                    </w:rPr>
                    <w:t>8</w:t>
                  </w:r>
                  <w:r>
                    <w:rPr>
                      <w:rFonts w:hint="eastAsia"/>
                      <w:highlight w:val="none"/>
                    </w:rPr>
                    <w:t>年</w:t>
                  </w:r>
                </w:p>
              </w:tc>
              <w:tc>
                <w:tcPr>
                  <w:tcW w:w="1195" w:type="dxa"/>
                  <w:tcBorders>
                    <w:right w:val="single" w:color="auto" w:sz="4" w:space="0"/>
                  </w:tcBorders>
                  <w:vAlign w:val="center"/>
                </w:tcPr>
                <w:p>
                  <w:pPr>
                    <w:rPr>
                      <w:rFonts w:hint="eastAsia"/>
                      <w:highlight w:val="none"/>
                    </w:rPr>
                  </w:pPr>
                </w:p>
              </w:tc>
              <w:tc>
                <w:tcPr>
                  <w:tcW w:w="1195" w:type="dxa"/>
                  <w:tcBorders>
                    <w:right w:val="single" w:color="auto" w:sz="4" w:space="0"/>
                  </w:tcBorders>
                  <w:vAlign w:val="center"/>
                </w:tcPr>
                <w:p>
                  <w:pPr>
                    <w:rPr>
                      <w:rFonts w:hint="eastAsia"/>
                      <w:highlight w:val="none"/>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highlight w:val="none"/>
                    </w:rPr>
                  </w:pPr>
                  <w:r>
                    <w:rPr>
                      <w:rFonts w:hint="eastAsia"/>
                      <w:highlight w:val="none"/>
                    </w:rPr>
                    <w:t>人才培养模式改革</w:t>
                  </w:r>
                </w:p>
              </w:tc>
              <w:tc>
                <w:tcPr>
                  <w:tcW w:w="988" w:type="dxa"/>
                  <w:vAlign w:val="center"/>
                </w:tcPr>
                <w:p>
                  <w:pPr>
                    <w:rPr>
                      <w:rFonts w:hint="eastAsia"/>
                      <w:highlight w:val="none"/>
                      <w:lang w:val="en-US" w:eastAsia="zh-CN"/>
                    </w:rPr>
                  </w:pPr>
                  <w:r>
                    <w:rPr>
                      <w:rFonts w:hint="eastAsia"/>
                      <w:highlight w:val="none"/>
                      <w:lang w:val="en-US" w:eastAsia="zh-CN"/>
                    </w:rPr>
                    <w:t>1</w:t>
                  </w:r>
                </w:p>
              </w:tc>
              <w:tc>
                <w:tcPr>
                  <w:tcW w:w="967" w:type="dxa"/>
                  <w:vAlign w:val="center"/>
                </w:tcPr>
                <w:p>
                  <w:pPr>
                    <w:rPr>
                      <w:rFonts w:hint="eastAsia"/>
                      <w:highlight w:val="none"/>
                      <w:lang w:val="en-US" w:eastAsia="zh-CN"/>
                    </w:rPr>
                  </w:pPr>
                  <w:r>
                    <w:rPr>
                      <w:rFonts w:hint="eastAsia"/>
                      <w:highlight w:val="none"/>
                      <w:lang w:val="en-US" w:eastAsia="zh-CN"/>
                    </w:rPr>
                    <w:t>3</w:t>
                  </w:r>
                </w:p>
              </w:tc>
              <w:tc>
                <w:tcPr>
                  <w:tcW w:w="1076" w:type="dxa"/>
                  <w:vAlign w:val="center"/>
                </w:tcPr>
                <w:p>
                  <w:pPr>
                    <w:rPr>
                      <w:rFonts w:hint="eastAsia"/>
                      <w:highlight w:val="none"/>
                      <w:lang w:val="en-US" w:eastAsia="zh-CN"/>
                    </w:rPr>
                  </w:pPr>
                  <w:r>
                    <w:rPr>
                      <w:rFonts w:hint="eastAsia"/>
                      <w:highlight w:val="none"/>
                      <w:lang w:val="en-US" w:eastAsia="zh-CN"/>
                    </w:rPr>
                    <w:t>2</w:t>
                  </w:r>
                </w:p>
              </w:tc>
              <w:tc>
                <w:tcPr>
                  <w:tcW w:w="946" w:type="dxa"/>
                  <w:vAlign w:val="center"/>
                </w:tcPr>
                <w:p>
                  <w:pPr>
                    <w:rPr>
                      <w:rFonts w:hint="default"/>
                      <w:highlight w:val="none"/>
                      <w:lang w:val="en-US" w:eastAsia="zh-CN"/>
                    </w:rPr>
                  </w:pPr>
                  <w:r>
                    <w:rPr>
                      <w:rFonts w:hint="eastAsia"/>
                      <w:highlight w:val="none"/>
                      <w:lang w:val="en-US" w:eastAsia="zh-CN"/>
                    </w:rPr>
                    <w:t>1</w:t>
                  </w:r>
                </w:p>
              </w:tc>
              <w:tc>
                <w:tcPr>
                  <w:tcW w:w="1195" w:type="dxa"/>
                  <w:tcBorders>
                    <w:right w:val="single" w:color="auto" w:sz="4" w:space="0"/>
                  </w:tcBorders>
                  <w:vAlign w:val="center"/>
                </w:tcPr>
                <w:p>
                  <w:pPr>
                    <w:rPr>
                      <w:rFonts w:hint="eastAsia"/>
                      <w:highlight w:val="none"/>
                      <w:lang w:val="en-US" w:eastAsia="zh-CN"/>
                    </w:rPr>
                  </w:pPr>
                  <w:r>
                    <w:rPr>
                      <w:rFonts w:hint="eastAsia"/>
                      <w:highlight w:val="none"/>
                      <w:lang w:val="en-US" w:eastAsia="zh-CN"/>
                    </w:rPr>
                    <w:t>7</w:t>
                  </w:r>
                </w:p>
              </w:tc>
              <w:tc>
                <w:tcPr>
                  <w:tcW w:w="1195" w:type="dxa"/>
                  <w:tcBorders>
                    <w:right w:val="single" w:color="auto" w:sz="4" w:space="0"/>
                  </w:tcBorders>
                  <w:vAlign w:val="center"/>
                </w:tcPr>
                <w:p>
                  <w:pPr>
                    <w:rPr>
                      <w:rFonts w:hint="eastAsia"/>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highlight w:val="none"/>
                    </w:rPr>
                  </w:pPr>
                  <w:r>
                    <w:rPr>
                      <w:rFonts w:hint="eastAsia"/>
                      <w:highlight w:val="none"/>
                    </w:rPr>
                    <w:t>课程体系与教学资源</w:t>
                  </w:r>
                </w:p>
              </w:tc>
              <w:tc>
                <w:tcPr>
                  <w:tcW w:w="988" w:type="dxa"/>
                  <w:vAlign w:val="center"/>
                </w:tcPr>
                <w:p>
                  <w:pPr>
                    <w:rPr>
                      <w:rFonts w:hint="eastAsia"/>
                      <w:highlight w:val="none"/>
                      <w:lang w:val="en-US" w:eastAsia="zh-CN"/>
                    </w:rPr>
                  </w:pPr>
                  <w:r>
                    <w:rPr>
                      <w:rFonts w:hint="eastAsia"/>
                      <w:highlight w:val="none"/>
                      <w:lang w:val="en-US" w:eastAsia="zh-CN"/>
                    </w:rPr>
                    <w:t>1</w:t>
                  </w:r>
                </w:p>
              </w:tc>
              <w:tc>
                <w:tcPr>
                  <w:tcW w:w="967" w:type="dxa"/>
                  <w:vAlign w:val="center"/>
                </w:tcPr>
                <w:p>
                  <w:pPr>
                    <w:rPr>
                      <w:rFonts w:hint="eastAsia"/>
                      <w:highlight w:val="none"/>
                      <w:lang w:val="en-US" w:eastAsia="zh-CN"/>
                    </w:rPr>
                  </w:pPr>
                  <w:r>
                    <w:rPr>
                      <w:rFonts w:hint="eastAsia"/>
                      <w:highlight w:val="none"/>
                      <w:lang w:val="en-US" w:eastAsia="zh-CN"/>
                    </w:rPr>
                    <w:t>2</w:t>
                  </w:r>
                </w:p>
              </w:tc>
              <w:tc>
                <w:tcPr>
                  <w:tcW w:w="1076" w:type="dxa"/>
                  <w:vAlign w:val="center"/>
                </w:tcPr>
                <w:p>
                  <w:pPr>
                    <w:rPr>
                      <w:rFonts w:hint="eastAsia"/>
                      <w:highlight w:val="none"/>
                      <w:lang w:val="en-US" w:eastAsia="zh-CN"/>
                    </w:rPr>
                  </w:pPr>
                  <w:r>
                    <w:rPr>
                      <w:rFonts w:hint="eastAsia"/>
                      <w:highlight w:val="none"/>
                      <w:lang w:val="en-US" w:eastAsia="zh-CN"/>
                    </w:rPr>
                    <w:t>2</w:t>
                  </w:r>
                </w:p>
              </w:tc>
              <w:tc>
                <w:tcPr>
                  <w:tcW w:w="946" w:type="dxa"/>
                  <w:vAlign w:val="center"/>
                </w:tcPr>
                <w:p>
                  <w:pPr>
                    <w:rPr>
                      <w:rFonts w:hint="eastAsia"/>
                      <w:highlight w:val="none"/>
                      <w:lang w:val="en-US" w:eastAsia="zh-CN"/>
                    </w:rPr>
                  </w:pPr>
                  <w:r>
                    <w:rPr>
                      <w:rFonts w:hint="eastAsia"/>
                      <w:highlight w:val="none"/>
                      <w:lang w:val="en-US" w:eastAsia="zh-CN"/>
                    </w:rPr>
                    <w:t>1</w:t>
                  </w:r>
                </w:p>
              </w:tc>
              <w:tc>
                <w:tcPr>
                  <w:tcW w:w="1195" w:type="dxa"/>
                  <w:tcBorders>
                    <w:right w:val="single" w:color="auto" w:sz="4" w:space="0"/>
                  </w:tcBorders>
                  <w:vAlign w:val="center"/>
                </w:tcPr>
                <w:p>
                  <w:pPr>
                    <w:rPr>
                      <w:rFonts w:hint="eastAsia"/>
                      <w:highlight w:val="none"/>
                      <w:lang w:val="en-US" w:eastAsia="zh-CN"/>
                    </w:rPr>
                  </w:pPr>
                  <w:r>
                    <w:rPr>
                      <w:rFonts w:hint="eastAsia"/>
                      <w:highlight w:val="none"/>
                      <w:lang w:val="en-US" w:eastAsia="zh-CN"/>
                    </w:rPr>
                    <w:t>6</w:t>
                  </w:r>
                </w:p>
              </w:tc>
              <w:tc>
                <w:tcPr>
                  <w:tcW w:w="1195" w:type="dxa"/>
                  <w:tcBorders>
                    <w:right w:val="single" w:color="auto" w:sz="4" w:space="0"/>
                  </w:tcBorders>
                  <w:vAlign w:val="center"/>
                </w:tcPr>
                <w:p>
                  <w:pPr>
                    <w:rPr>
                      <w:rFonts w:hint="eastAsia"/>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highlight w:val="none"/>
                    </w:rPr>
                  </w:pPr>
                  <w:r>
                    <w:rPr>
                      <w:rFonts w:hint="eastAsia"/>
                      <w:highlight w:val="none"/>
                    </w:rPr>
                    <w:t>教材与教法</w:t>
                  </w:r>
                </w:p>
              </w:tc>
              <w:tc>
                <w:tcPr>
                  <w:tcW w:w="988" w:type="dxa"/>
                  <w:vAlign w:val="center"/>
                </w:tcPr>
                <w:p>
                  <w:pPr>
                    <w:rPr>
                      <w:rFonts w:hint="eastAsia"/>
                      <w:highlight w:val="none"/>
                      <w:lang w:val="en-US" w:eastAsia="zh-CN"/>
                    </w:rPr>
                  </w:pPr>
                  <w:r>
                    <w:rPr>
                      <w:rFonts w:hint="eastAsia"/>
                      <w:highlight w:val="none"/>
                      <w:lang w:val="en-US" w:eastAsia="zh-CN"/>
                    </w:rPr>
                    <w:t>2</w:t>
                  </w:r>
                </w:p>
              </w:tc>
              <w:tc>
                <w:tcPr>
                  <w:tcW w:w="967" w:type="dxa"/>
                  <w:vAlign w:val="center"/>
                </w:tcPr>
                <w:p>
                  <w:pPr>
                    <w:rPr>
                      <w:rFonts w:hint="eastAsia"/>
                      <w:highlight w:val="none"/>
                      <w:lang w:val="en-US" w:eastAsia="zh-CN"/>
                    </w:rPr>
                  </w:pPr>
                  <w:r>
                    <w:rPr>
                      <w:rFonts w:hint="eastAsia"/>
                      <w:highlight w:val="none"/>
                      <w:lang w:val="en-US" w:eastAsia="zh-CN"/>
                    </w:rPr>
                    <w:t>3</w:t>
                  </w:r>
                </w:p>
              </w:tc>
              <w:tc>
                <w:tcPr>
                  <w:tcW w:w="1076" w:type="dxa"/>
                  <w:vAlign w:val="center"/>
                </w:tcPr>
                <w:p>
                  <w:pPr>
                    <w:rPr>
                      <w:rFonts w:hint="eastAsia"/>
                      <w:highlight w:val="none"/>
                      <w:lang w:val="en-US" w:eastAsia="zh-CN"/>
                    </w:rPr>
                  </w:pPr>
                  <w:r>
                    <w:rPr>
                      <w:rFonts w:hint="eastAsia"/>
                      <w:highlight w:val="none"/>
                      <w:lang w:val="en-US" w:eastAsia="zh-CN"/>
                    </w:rPr>
                    <w:t>2</w:t>
                  </w:r>
                </w:p>
              </w:tc>
              <w:tc>
                <w:tcPr>
                  <w:tcW w:w="946" w:type="dxa"/>
                  <w:vAlign w:val="center"/>
                </w:tcPr>
                <w:p>
                  <w:pPr>
                    <w:rPr>
                      <w:rFonts w:hint="eastAsia"/>
                      <w:highlight w:val="none"/>
                      <w:lang w:val="en-US" w:eastAsia="zh-CN"/>
                    </w:rPr>
                  </w:pPr>
                  <w:r>
                    <w:rPr>
                      <w:rFonts w:hint="eastAsia"/>
                      <w:highlight w:val="none"/>
                      <w:lang w:val="en-US" w:eastAsia="zh-CN"/>
                    </w:rPr>
                    <w:t>1</w:t>
                  </w:r>
                </w:p>
              </w:tc>
              <w:tc>
                <w:tcPr>
                  <w:tcW w:w="1195" w:type="dxa"/>
                  <w:tcBorders>
                    <w:right w:val="single" w:color="auto" w:sz="4" w:space="0"/>
                  </w:tcBorders>
                  <w:vAlign w:val="center"/>
                </w:tcPr>
                <w:p>
                  <w:pPr>
                    <w:rPr>
                      <w:rFonts w:hint="eastAsia"/>
                      <w:highlight w:val="none"/>
                      <w:lang w:val="en-US" w:eastAsia="zh-CN"/>
                    </w:rPr>
                  </w:pPr>
                  <w:r>
                    <w:rPr>
                      <w:rFonts w:hint="eastAsia"/>
                      <w:highlight w:val="none"/>
                      <w:lang w:val="en-US" w:eastAsia="zh-CN"/>
                    </w:rPr>
                    <w:t>8</w:t>
                  </w:r>
                </w:p>
              </w:tc>
              <w:tc>
                <w:tcPr>
                  <w:tcW w:w="1195" w:type="dxa"/>
                  <w:tcBorders>
                    <w:right w:val="single" w:color="auto" w:sz="4" w:space="0"/>
                  </w:tcBorders>
                  <w:vAlign w:val="center"/>
                </w:tcPr>
                <w:p>
                  <w:pPr>
                    <w:rPr>
                      <w:rFonts w:hint="eastAsia"/>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highlight w:val="none"/>
                    </w:rPr>
                  </w:pPr>
                  <w:r>
                    <w:rPr>
                      <w:rFonts w:hint="eastAsia"/>
                      <w:highlight w:val="none"/>
                    </w:rPr>
                    <w:t>师资队伍</w:t>
                  </w:r>
                </w:p>
              </w:tc>
              <w:tc>
                <w:tcPr>
                  <w:tcW w:w="988" w:type="dxa"/>
                  <w:vAlign w:val="center"/>
                </w:tcPr>
                <w:p>
                  <w:pPr>
                    <w:rPr>
                      <w:rFonts w:hint="eastAsia"/>
                      <w:highlight w:val="none"/>
                      <w:lang w:val="en-US" w:eastAsia="zh-CN"/>
                    </w:rPr>
                  </w:pPr>
                  <w:r>
                    <w:rPr>
                      <w:rFonts w:hint="eastAsia"/>
                      <w:highlight w:val="none"/>
                      <w:lang w:val="en-US" w:eastAsia="zh-CN"/>
                    </w:rPr>
                    <w:t>2</w:t>
                  </w:r>
                </w:p>
              </w:tc>
              <w:tc>
                <w:tcPr>
                  <w:tcW w:w="967" w:type="dxa"/>
                  <w:vAlign w:val="center"/>
                </w:tcPr>
                <w:p>
                  <w:pPr>
                    <w:rPr>
                      <w:rFonts w:hint="eastAsia"/>
                      <w:highlight w:val="none"/>
                      <w:lang w:val="en-US" w:eastAsia="zh-CN"/>
                    </w:rPr>
                  </w:pPr>
                  <w:r>
                    <w:rPr>
                      <w:rFonts w:hint="eastAsia"/>
                      <w:highlight w:val="none"/>
                      <w:lang w:val="en-US" w:eastAsia="zh-CN"/>
                    </w:rPr>
                    <w:t>3</w:t>
                  </w:r>
                </w:p>
              </w:tc>
              <w:tc>
                <w:tcPr>
                  <w:tcW w:w="1076" w:type="dxa"/>
                  <w:vAlign w:val="center"/>
                </w:tcPr>
                <w:p>
                  <w:pPr>
                    <w:rPr>
                      <w:rFonts w:hint="eastAsia"/>
                      <w:highlight w:val="none"/>
                      <w:lang w:val="en-US" w:eastAsia="zh-CN"/>
                    </w:rPr>
                  </w:pPr>
                  <w:r>
                    <w:rPr>
                      <w:rFonts w:hint="eastAsia"/>
                      <w:highlight w:val="none"/>
                      <w:lang w:val="en-US" w:eastAsia="zh-CN"/>
                    </w:rPr>
                    <w:t>3</w:t>
                  </w:r>
                </w:p>
              </w:tc>
              <w:tc>
                <w:tcPr>
                  <w:tcW w:w="946" w:type="dxa"/>
                  <w:vAlign w:val="center"/>
                </w:tcPr>
                <w:p>
                  <w:pPr>
                    <w:rPr>
                      <w:rFonts w:hint="eastAsia"/>
                      <w:highlight w:val="none"/>
                      <w:lang w:val="en-US" w:eastAsia="zh-CN"/>
                    </w:rPr>
                  </w:pPr>
                  <w:r>
                    <w:rPr>
                      <w:rFonts w:hint="eastAsia"/>
                      <w:highlight w:val="none"/>
                      <w:lang w:val="en-US" w:eastAsia="zh-CN"/>
                    </w:rPr>
                    <w:t>1</w:t>
                  </w:r>
                </w:p>
              </w:tc>
              <w:tc>
                <w:tcPr>
                  <w:tcW w:w="1195" w:type="dxa"/>
                  <w:tcBorders>
                    <w:right w:val="single" w:color="auto" w:sz="4" w:space="0"/>
                  </w:tcBorders>
                  <w:vAlign w:val="center"/>
                </w:tcPr>
                <w:p>
                  <w:pPr>
                    <w:rPr>
                      <w:rFonts w:hint="eastAsia"/>
                      <w:highlight w:val="none"/>
                      <w:lang w:val="en-US" w:eastAsia="zh-CN"/>
                    </w:rPr>
                  </w:pPr>
                  <w:r>
                    <w:rPr>
                      <w:rFonts w:hint="eastAsia"/>
                      <w:highlight w:val="none"/>
                      <w:lang w:val="en-US" w:eastAsia="zh-CN"/>
                    </w:rPr>
                    <w:t>9</w:t>
                  </w:r>
                </w:p>
              </w:tc>
              <w:tc>
                <w:tcPr>
                  <w:tcW w:w="1195" w:type="dxa"/>
                  <w:tcBorders>
                    <w:right w:val="single" w:color="auto" w:sz="4" w:space="0"/>
                  </w:tcBorders>
                  <w:vAlign w:val="center"/>
                </w:tcPr>
                <w:p>
                  <w:pPr>
                    <w:rPr>
                      <w:rFonts w:hint="eastAsia"/>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rPr>
                  </w:pPr>
                  <w:r>
                    <w:rPr>
                      <w:rFonts w:hint="eastAsia"/>
                    </w:rPr>
                    <w:t>实习实训基地</w:t>
                  </w:r>
                </w:p>
              </w:tc>
              <w:tc>
                <w:tcPr>
                  <w:tcW w:w="988" w:type="dxa"/>
                  <w:vAlign w:val="center"/>
                </w:tcPr>
                <w:p>
                  <w:pPr>
                    <w:rPr>
                      <w:rFonts w:hint="default"/>
                      <w:lang w:val="en-US" w:eastAsia="zh-CN"/>
                    </w:rPr>
                  </w:pPr>
                  <w:r>
                    <w:rPr>
                      <w:rFonts w:hint="eastAsia"/>
                      <w:lang w:val="en-US" w:eastAsia="zh-CN"/>
                    </w:rPr>
                    <w:t>15</w:t>
                  </w:r>
                </w:p>
              </w:tc>
              <w:tc>
                <w:tcPr>
                  <w:tcW w:w="967" w:type="dxa"/>
                  <w:vAlign w:val="center"/>
                </w:tcPr>
                <w:p>
                  <w:pPr>
                    <w:rPr>
                      <w:rFonts w:hint="default"/>
                      <w:lang w:val="en-US" w:eastAsia="zh-CN"/>
                    </w:rPr>
                  </w:pPr>
                  <w:r>
                    <w:rPr>
                      <w:rFonts w:hint="eastAsia"/>
                      <w:lang w:val="en-US" w:eastAsia="zh-CN"/>
                    </w:rPr>
                    <w:t>20</w:t>
                  </w:r>
                </w:p>
              </w:tc>
              <w:tc>
                <w:tcPr>
                  <w:tcW w:w="1076" w:type="dxa"/>
                  <w:vAlign w:val="center"/>
                </w:tcPr>
                <w:p>
                  <w:pPr>
                    <w:rPr>
                      <w:rFonts w:hint="eastAsia"/>
                      <w:lang w:val="en-US" w:eastAsia="zh-CN"/>
                    </w:rPr>
                  </w:pPr>
                </w:p>
              </w:tc>
              <w:tc>
                <w:tcPr>
                  <w:tcW w:w="946" w:type="dxa"/>
                  <w:vAlign w:val="center"/>
                </w:tcPr>
                <w:p>
                  <w:pPr>
                    <w:rPr>
                      <w:rFonts w:hint="eastAsia"/>
                      <w:lang w:val="en-US" w:eastAsia="zh-CN"/>
                    </w:rPr>
                  </w:pPr>
                </w:p>
              </w:tc>
              <w:tc>
                <w:tcPr>
                  <w:tcW w:w="1195" w:type="dxa"/>
                  <w:tcBorders>
                    <w:right w:val="single" w:color="auto" w:sz="4" w:space="0"/>
                  </w:tcBorders>
                  <w:vAlign w:val="center"/>
                </w:tcPr>
                <w:p>
                  <w:pPr>
                    <w:rPr>
                      <w:rFonts w:hint="default"/>
                      <w:lang w:val="en-US" w:eastAsia="zh-CN"/>
                    </w:rPr>
                  </w:pPr>
                  <w:r>
                    <w:rPr>
                      <w:rFonts w:hint="eastAsia"/>
                      <w:lang w:val="en-US" w:eastAsia="zh-CN"/>
                    </w:rPr>
                    <w:t>35</w:t>
                  </w:r>
                </w:p>
              </w:tc>
              <w:tc>
                <w:tcPr>
                  <w:tcW w:w="1195" w:type="dxa"/>
                  <w:vMerge w:val="restart"/>
                  <w:tcBorders>
                    <w:right w:val="single" w:color="auto" w:sz="4" w:space="0"/>
                  </w:tcBorders>
                  <w:vAlign w:val="center"/>
                </w:tcPr>
                <w:p>
                  <w:pPr>
                    <w:rPr>
                      <w:rFonts w:hint="eastAsia"/>
                      <w:lang w:val="en-US" w:eastAsia="zh-CN"/>
                    </w:rPr>
                  </w:pPr>
                  <w:r>
                    <w:rPr>
                      <w:rFonts w:hint="eastAsia"/>
                      <w:lang w:val="en-US" w:eastAsia="zh-CN"/>
                    </w:rPr>
                    <w:t>不含企业共建资金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rPr>
                  </w:pPr>
                  <w:r>
                    <w:rPr>
                      <w:rFonts w:hint="eastAsia"/>
                    </w:rPr>
                    <w:t>技术技能平台</w:t>
                  </w:r>
                </w:p>
              </w:tc>
              <w:tc>
                <w:tcPr>
                  <w:tcW w:w="988" w:type="dxa"/>
                  <w:vAlign w:val="center"/>
                </w:tcPr>
                <w:p>
                  <w:pPr>
                    <w:rPr>
                      <w:rFonts w:hint="eastAsia"/>
                      <w:lang w:val="en-US" w:eastAsia="zh-CN"/>
                    </w:rPr>
                  </w:pPr>
                </w:p>
              </w:tc>
              <w:tc>
                <w:tcPr>
                  <w:tcW w:w="967" w:type="dxa"/>
                  <w:vAlign w:val="center"/>
                </w:tcPr>
                <w:p>
                  <w:pPr>
                    <w:rPr>
                      <w:rFonts w:hint="eastAsia"/>
                      <w:lang w:val="en-US" w:eastAsia="zh-CN"/>
                    </w:rPr>
                  </w:pPr>
                  <w:r>
                    <w:rPr>
                      <w:rFonts w:hint="eastAsia"/>
                      <w:lang w:val="en-US" w:eastAsia="zh-CN"/>
                    </w:rPr>
                    <w:t>1</w:t>
                  </w:r>
                </w:p>
              </w:tc>
              <w:tc>
                <w:tcPr>
                  <w:tcW w:w="1076" w:type="dxa"/>
                  <w:vAlign w:val="center"/>
                </w:tcPr>
                <w:p>
                  <w:pPr>
                    <w:rPr>
                      <w:rFonts w:hint="eastAsia"/>
                      <w:lang w:val="en-US" w:eastAsia="zh-CN"/>
                    </w:rPr>
                  </w:pPr>
                  <w:r>
                    <w:rPr>
                      <w:rFonts w:hint="eastAsia"/>
                      <w:lang w:val="en-US" w:eastAsia="zh-CN"/>
                    </w:rPr>
                    <w:t>2.6</w:t>
                  </w:r>
                </w:p>
              </w:tc>
              <w:tc>
                <w:tcPr>
                  <w:tcW w:w="946" w:type="dxa"/>
                  <w:vAlign w:val="center"/>
                </w:tcPr>
                <w:p>
                  <w:pPr>
                    <w:rPr>
                      <w:rFonts w:hint="eastAsia"/>
                      <w:lang w:val="en-US" w:eastAsia="zh-CN"/>
                    </w:rPr>
                  </w:pPr>
                  <w:r>
                    <w:rPr>
                      <w:rFonts w:hint="eastAsia"/>
                      <w:lang w:val="en-US" w:eastAsia="zh-CN"/>
                    </w:rPr>
                    <w:t>2</w:t>
                  </w:r>
                </w:p>
              </w:tc>
              <w:tc>
                <w:tcPr>
                  <w:tcW w:w="1195" w:type="dxa"/>
                  <w:tcBorders>
                    <w:right w:val="single" w:color="auto" w:sz="4" w:space="0"/>
                  </w:tcBorders>
                  <w:vAlign w:val="center"/>
                </w:tcPr>
                <w:p>
                  <w:pPr>
                    <w:rPr>
                      <w:rFonts w:hint="eastAsia"/>
                      <w:lang w:val="en-US" w:eastAsia="zh-CN"/>
                    </w:rPr>
                  </w:pPr>
                  <w:r>
                    <w:rPr>
                      <w:rFonts w:hint="eastAsia"/>
                      <w:lang w:val="en-US" w:eastAsia="zh-CN"/>
                    </w:rPr>
                    <w:t>5.6</w:t>
                  </w:r>
                </w:p>
              </w:tc>
              <w:tc>
                <w:tcPr>
                  <w:tcW w:w="1195" w:type="dxa"/>
                  <w:vMerge w:val="continue"/>
                  <w:tcBorders>
                    <w:right w:val="single" w:color="auto" w:sz="4" w:space="0"/>
                  </w:tcBorders>
                  <w:vAlign w:val="center"/>
                </w:tcPr>
                <w:p>
                  <w:pPr>
                    <w:rPr>
                      <w:rFonts w:hint="eastAsia"/>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38" w:type="dxa"/>
                  <w:tcBorders>
                    <w:left w:val="single" w:color="auto" w:sz="4" w:space="0"/>
                  </w:tcBorders>
                  <w:vAlign w:val="center"/>
                </w:tcPr>
                <w:p>
                  <w:pPr>
                    <w:rPr>
                      <w:rFonts w:hint="eastAsia"/>
                    </w:rPr>
                  </w:pPr>
                  <w:r>
                    <w:rPr>
                      <w:rFonts w:hint="eastAsia"/>
                    </w:rPr>
                    <w:t>专业建设质量保障机制</w:t>
                  </w:r>
                </w:p>
              </w:tc>
              <w:tc>
                <w:tcPr>
                  <w:tcW w:w="988" w:type="dxa"/>
                  <w:vAlign w:val="center"/>
                </w:tcPr>
                <w:p>
                  <w:pPr>
                    <w:rPr>
                      <w:rFonts w:hint="eastAsia"/>
                      <w:lang w:val="en-US" w:eastAsia="zh-CN"/>
                    </w:rPr>
                  </w:pPr>
                  <w:r>
                    <w:rPr>
                      <w:rFonts w:hint="eastAsia"/>
                      <w:lang w:val="en-US" w:eastAsia="zh-CN"/>
                    </w:rPr>
                    <w:t>0.2</w:t>
                  </w:r>
                </w:p>
              </w:tc>
              <w:tc>
                <w:tcPr>
                  <w:tcW w:w="967" w:type="dxa"/>
                  <w:vAlign w:val="center"/>
                </w:tcPr>
                <w:p>
                  <w:pPr>
                    <w:rPr>
                      <w:rFonts w:hint="eastAsia"/>
                      <w:lang w:val="en-US" w:eastAsia="zh-CN"/>
                    </w:rPr>
                  </w:pPr>
                  <w:r>
                    <w:rPr>
                      <w:rFonts w:hint="eastAsia"/>
                      <w:lang w:val="en-US" w:eastAsia="zh-CN"/>
                    </w:rPr>
                    <w:t>0.2</w:t>
                  </w:r>
                </w:p>
              </w:tc>
              <w:tc>
                <w:tcPr>
                  <w:tcW w:w="1076" w:type="dxa"/>
                  <w:vAlign w:val="center"/>
                </w:tcPr>
                <w:p>
                  <w:pPr>
                    <w:rPr>
                      <w:rFonts w:hint="eastAsia"/>
                      <w:lang w:val="en-US" w:eastAsia="zh-CN"/>
                    </w:rPr>
                  </w:pPr>
                </w:p>
              </w:tc>
              <w:tc>
                <w:tcPr>
                  <w:tcW w:w="946" w:type="dxa"/>
                  <w:vAlign w:val="center"/>
                </w:tcPr>
                <w:p>
                  <w:pPr>
                    <w:rPr>
                      <w:rFonts w:hint="eastAsia"/>
                      <w:lang w:val="en-US" w:eastAsia="zh-CN"/>
                    </w:rPr>
                  </w:pPr>
                </w:p>
              </w:tc>
              <w:tc>
                <w:tcPr>
                  <w:tcW w:w="1195" w:type="dxa"/>
                  <w:tcBorders>
                    <w:right w:val="single" w:color="auto" w:sz="4" w:space="0"/>
                  </w:tcBorders>
                  <w:vAlign w:val="center"/>
                </w:tcPr>
                <w:p>
                  <w:pPr>
                    <w:rPr>
                      <w:rFonts w:hint="eastAsia"/>
                      <w:lang w:val="en-US" w:eastAsia="zh-CN"/>
                    </w:rPr>
                  </w:pPr>
                  <w:r>
                    <w:rPr>
                      <w:rFonts w:hint="eastAsia"/>
                      <w:lang w:val="en-US" w:eastAsia="zh-CN"/>
                    </w:rPr>
                    <w:t>0.4</w:t>
                  </w:r>
                </w:p>
              </w:tc>
              <w:tc>
                <w:tcPr>
                  <w:tcW w:w="1195" w:type="dxa"/>
                  <w:tcBorders>
                    <w:right w:val="single" w:color="auto" w:sz="4" w:space="0"/>
                  </w:tcBorders>
                  <w:vAlign w:val="center"/>
                </w:tcPr>
                <w:p>
                  <w:pPr>
                    <w:rPr>
                      <w:rFonts w:hint="eastAsia"/>
                      <w:lang w:val="en-US" w:eastAsia="zh-CN"/>
                    </w:rPr>
                  </w:pP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15" w:type="dxa"/>
                  <w:gridSpan w:val="5"/>
                  <w:tcBorders>
                    <w:left w:val="single" w:color="auto" w:sz="4" w:space="0"/>
                    <w:bottom w:val="double" w:color="auto" w:sz="4" w:space="0"/>
                  </w:tcBorders>
                  <w:vAlign w:val="center"/>
                </w:tcPr>
                <w:p>
                  <w:pPr>
                    <w:rPr>
                      <w:rFonts w:hint="eastAsia"/>
                    </w:rPr>
                  </w:pPr>
                  <w:r>
                    <w:rPr>
                      <w:rFonts w:hint="eastAsia"/>
                    </w:rPr>
                    <w:t>合计</w:t>
                  </w:r>
                </w:p>
              </w:tc>
              <w:tc>
                <w:tcPr>
                  <w:tcW w:w="1195" w:type="dxa"/>
                  <w:tcBorders>
                    <w:bottom w:val="double" w:color="auto" w:sz="4" w:space="0"/>
                    <w:right w:val="single" w:color="auto" w:sz="4" w:space="0"/>
                  </w:tcBorders>
                  <w:vAlign w:val="center"/>
                </w:tcPr>
                <w:p>
                  <w:pPr>
                    <w:rPr>
                      <w:rFonts w:hint="default"/>
                      <w:lang w:val="en-US" w:eastAsia="zh-CN"/>
                    </w:rPr>
                  </w:pPr>
                  <w:r>
                    <w:rPr>
                      <w:rFonts w:hint="eastAsia"/>
                      <w:lang w:val="en-US" w:eastAsia="zh-CN"/>
                    </w:rPr>
                    <w:t>71</w:t>
                  </w:r>
                </w:p>
              </w:tc>
              <w:tc>
                <w:tcPr>
                  <w:tcW w:w="1195" w:type="dxa"/>
                  <w:tcBorders>
                    <w:bottom w:val="double" w:color="auto" w:sz="4" w:space="0"/>
                    <w:right w:val="single" w:color="auto" w:sz="4" w:space="0"/>
                  </w:tcBorders>
                  <w:vAlign w:val="center"/>
                </w:tcPr>
                <w:p>
                  <w:pPr>
                    <w:rPr>
                      <w:rFonts w:hint="eastAsia"/>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0"/>
              <w:rPr>
                <w:rFonts w:hint="eastAsia" w:ascii="黑体" w:hAnsi="黑体" w:eastAsia="黑体" w:cs="黑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黑体" w:hAnsi="黑体" w:eastAsia="黑体" w:cs="黑体"/>
                <w:b/>
                <w:bCs/>
                <w:sz w:val="28"/>
                <w:szCs w:val="28"/>
                <w:lang w:val="en-US" w:eastAsia="zh-CN"/>
              </w:rPr>
            </w:pPr>
            <w:bookmarkStart w:id="0" w:name="_Toc18506"/>
            <w:bookmarkStart w:id="1" w:name="_Toc10444"/>
            <w:r>
              <w:rPr>
                <w:rFonts w:hint="eastAsia" w:ascii="黑体" w:hAnsi="黑体" w:eastAsia="黑体" w:cs="黑体"/>
                <w:b/>
                <w:bCs/>
                <w:sz w:val="28"/>
                <w:szCs w:val="28"/>
                <w:lang w:val="en-US" w:eastAsia="zh-CN"/>
              </w:rPr>
              <w:t>人才需求预测情况：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近年来，在“一带一路”战略引导下，我国跨境电子商务作为外贸业务的新形式发展迅速,并保持了高速增长势头，成为当今经济发展的新引擎</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新疆丝绸之路经济带的核心区定位为本土的跨境电商带来了发展机遇</w:t>
            </w:r>
            <w:r>
              <w:rPr>
                <w:rFonts w:hint="eastAsia" w:ascii="宋体" w:hAnsi="宋体" w:cs="宋体"/>
                <w:sz w:val="24"/>
                <w:szCs w:val="24"/>
                <w:lang w:val="en-US" w:eastAsia="zh-CN"/>
              </w:rPr>
              <w:t>。</w:t>
            </w:r>
            <w:r>
              <w:rPr>
                <w:rFonts w:hint="eastAsia" w:ascii="宋体" w:hAnsi="宋体" w:eastAsia="宋体" w:cs="宋体"/>
                <w:sz w:val="24"/>
                <w:szCs w:val="24"/>
                <w:lang w:val="en-US" w:eastAsia="zh-CN"/>
              </w:rPr>
              <w:t>为充分了解新疆跨境电子商务产业人才需求动态、人才培养现状，自治区高等院校跨境电子商务专业开设等情况，全面推进职业院校跨境电子商务专业建设，提高人才培养质量，前往企业、高职院校进行调研。</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9"/>
              <w:rPr>
                <w:rFonts w:hint="eastAsia" w:ascii="黑体" w:hAnsi="黑体" w:eastAsia="黑体" w:cs="黑体"/>
                <w:b/>
                <w:bCs/>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一、基本思路与方法</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outlineLvl w:val="9"/>
              <w:rPr>
                <w:rFonts w:hint="eastAsia" w:ascii="宋体" w:hAnsi="宋体" w:eastAsia="宋体" w:cs="宋体"/>
                <w:b/>
                <w:bCs/>
                <w:sz w:val="24"/>
                <w:szCs w:val="24"/>
              </w:rPr>
            </w:pPr>
            <w:r>
              <w:rPr>
                <w:rFonts w:hint="eastAsia" w:ascii="宋体" w:hAnsi="宋体" w:eastAsia="宋体" w:cs="宋体"/>
                <w:b/>
                <w:bCs/>
                <w:spacing w:val="-6"/>
                <w:sz w:val="24"/>
                <w:szCs w:val="24"/>
              </w:rPr>
              <w:t>（一）调研思路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职业院校坚持以就业为导向、以能力为本位、以服务为宗旨，服务于新疆及伊犁州经济发展的需要，同时保证课程体系体现职业教育技能人才培养目标，与国家职业标准相适应。通过本次调研收集和分析跨境电子商务专业社会人才需求状况信息，了解社会、行业以及企业对该专业人才知识、技能、素质要求，为专业人才培养目标定位、招生规模、学生就业指导提供信息。并为后续教学计划和课程标准的制订、教学改革提供依据和帮助，使本专业毕业生与用人单位需求实现“零距离”对接。</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rPr>
            </w:pPr>
            <w:r>
              <w:rPr>
                <w:rFonts w:hint="eastAsia" w:ascii="宋体" w:hAnsi="宋体" w:eastAsia="宋体" w:cs="宋体"/>
                <w:b/>
                <w:bCs/>
                <w:spacing w:val="-6"/>
                <w:sz w:val="24"/>
                <w:szCs w:val="24"/>
              </w:rPr>
              <w:t>（二）调研方法</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2" w:name="_Toc6009"/>
            <w:r>
              <w:rPr>
                <w:rFonts w:hint="eastAsia" w:ascii="宋体" w:hAnsi="宋体" w:eastAsia="宋体" w:cs="宋体"/>
                <w:b/>
                <w:bCs/>
                <w:spacing w:val="-6"/>
                <w:sz w:val="24"/>
                <w:szCs w:val="24"/>
                <w:lang w:val="en-US" w:eastAsia="zh-CN"/>
              </w:rPr>
              <w:t>1.调研内容</w:t>
            </w:r>
            <w:bookmarkEnd w:id="2"/>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本次调研主要从以下七个方面开展：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（1）跨境电子商务专业发展的现状与发展趋势、市场对本专业人才的需求现状；</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（2）跨境电子商务专业对接产业、岗位情况；</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（3）跨境电子商务专业发展前景；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（4）专业设置的职业（群）面向、就业岗位（群）、岗位（群）核心能力和素质要求；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（5）本专业主要就业岗位（群）及其工作职责与任务、任职要求；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（6）分析产业、岗位对高职层次本专业人才的知识、能力、素质、职业任职资格以及对课程体系要求；</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（7）行业企业在本专业人才使用过程中发现的问题、不足以及有关建议。</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3" w:name="_Toc27260"/>
            <w:r>
              <w:rPr>
                <w:rFonts w:hint="eastAsia" w:ascii="宋体" w:hAnsi="宋体" w:eastAsia="宋体" w:cs="宋体"/>
                <w:b/>
                <w:bCs/>
                <w:spacing w:val="-6"/>
                <w:sz w:val="24"/>
                <w:szCs w:val="24"/>
                <w:lang w:val="en-US" w:eastAsia="zh-CN"/>
              </w:rPr>
              <w:t>2.调研方式</w:t>
            </w:r>
            <w:bookmarkEnd w:id="3"/>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本次调研的主要方式有以下四种：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（1）行业人士、兄弟院校访谈法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通过事先拟定的访谈提纲，与企业专家、兄弟院校领导、老师座谈、访谈，就跨境电子商务行业发展的空间和趋势、人才现状和培养需求、人才培养方案和课程体系等进行调研和咨询。</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（2）问卷调查法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采取抽样调查方法，抽取新疆多家跨境电子商务行业相关企业，了解跨境电子商务从业人员的具体岗位及所需的知识、能力、基本素质要求等信息。</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（3）现场观察法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在调研期间，参与调研的教师根据自己的课程方向分在跨境电子商务运营、跨境店铺美工、跨境电商客服专员等岗位进行现场观察和跟踪，为后续专业建设工作积累丰富的第一手材料。</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（4）文献调查法</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主要基于互联网收集并分析我国跨境电子商务行业发展现状及趋势，包括期刊，知名公司发布的数据、调研报告，国家、地区跨境电商政策等。</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4" w:name="_Toc23271"/>
            <w:r>
              <w:rPr>
                <w:rFonts w:hint="eastAsia" w:ascii="宋体" w:hAnsi="宋体" w:eastAsia="宋体" w:cs="宋体"/>
                <w:b/>
                <w:bCs/>
                <w:spacing w:val="-6"/>
                <w:sz w:val="24"/>
                <w:szCs w:val="24"/>
                <w:lang w:val="en-US" w:eastAsia="zh-CN"/>
              </w:rPr>
              <w:t>3.调研对象</w:t>
            </w:r>
            <w:bookmarkEnd w:id="4"/>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val="en-US" w:eastAsia="zh-CN"/>
              </w:rPr>
              <w:t>主要调研对象有新疆地区及其他地区的跨境电子商务企业，主要对象为</w:t>
            </w:r>
            <w:r>
              <w:rPr>
                <w:rFonts w:hint="eastAsia" w:ascii="宋体" w:hAnsi="宋体" w:eastAsia="宋体" w:cs="宋体"/>
                <w:sz w:val="24"/>
                <w:szCs w:val="24"/>
                <w:lang w:eastAsia="zh-CN"/>
              </w:rPr>
              <w:t>跨境电子商务</w:t>
            </w:r>
            <w:r>
              <w:rPr>
                <w:rFonts w:hint="eastAsia" w:ascii="宋体" w:hAnsi="宋体" w:eastAsia="宋体" w:cs="宋体"/>
                <w:sz w:val="24"/>
                <w:szCs w:val="24"/>
              </w:rPr>
              <w:t>企业的负责人、部门主管及</w:t>
            </w:r>
            <w:r>
              <w:rPr>
                <w:rFonts w:hint="eastAsia" w:ascii="宋体" w:hAnsi="宋体" w:eastAsia="宋体" w:cs="宋体"/>
                <w:sz w:val="24"/>
                <w:szCs w:val="24"/>
                <w:lang w:eastAsia="zh-CN"/>
              </w:rPr>
              <w:t>跨境电商</w:t>
            </w:r>
            <w:r>
              <w:rPr>
                <w:rFonts w:hint="eastAsia" w:ascii="宋体" w:hAnsi="宋体" w:eastAsia="宋体" w:cs="宋体"/>
                <w:sz w:val="24"/>
                <w:szCs w:val="24"/>
              </w:rPr>
              <w:t>一线从业人员</w:t>
            </w:r>
            <w:r>
              <w:rPr>
                <w:rFonts w:hint="eastAsia" w:ascii="宋体" w:hAnsi="宋体" w:eastAsia="宋体" w:cs="宋体"/>
                <w:sz w:val="24"/>
                <w:szCs w:val="24"/>
                <w:lang w:eastAsia="zh-CN"/>
              </w:rPr>
              <w:t>等。</w:t>
            </w:r>
          </w:p>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表1调研企业一览表（部分典型）</w:t>
            </w:r>
          </w:p>
          <w:tbl>
            <w:tblPr>
              <w:tblStyle w:val="12"/>
              <w:tblW w:w="8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988"/>
              <w:gridCol w:w="3516"/>
              <w:gridCol w:w="1119"/>
              <w:gridCol w:w="2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tblHeader/>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序号</w:t>
                  </w:r>
                </w:p>
              </w:tc>
              <w:tc>
                <w:tcPr>
                  <w:tcW w:w="351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企业名称</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所在省</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（市）</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企业</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highlight w:val="none"/>
                    </w:rPr>
                  </w:pPr>
                  <w:r>
                    <w:rPr>
                      <w:rFonts w:hint="eastAsia" w:ascii="宋体" w:hAnsi="宋体" w:eastAsia="宋体" w:cs="宋体"/>
                      <w:b/>
                      <w:sz w:val="21"/>
                      <w:szCs w:val="21"/>
                      <w:highlight w:val="none"/>
                    </w:rPr>
                    <w:t>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1</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新疆亚欧国际物资交易中心有限公司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新疆奎屯</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宋体" w:hAnsi="宋体" w:eastAsia="宋体" w:cs="宋体"/>
                      <w:kern w:val="0"/>
                      <w:sz w:val="21"/>
                      <w:szCs w:val="21"/>
                      <w:lang w:val="en-US" w:eastAsia="zh-CN"/>
                    </w:rPr>
                  </w:pPr>
                  <w:bookmarkStart w:id="5" w:name="OLE_LINK1"/>
                  <w:r>
                    <w:rPr>
                      <w:rFonts w:hint="eastAsia" w:ascii="宋体" w:hAnsi="宋体" w:eastAsia="宋体" w:cs="宋体"/>
                      <w:kern w:val="0"/>
                      <w:sz w:val="21"/>
                      <w:szCs w:val="21"/>
                      <w:lang w:val="en-US" w:eastAsia="zh-CN"/>
                    </w:rPr>
                    <w:t>跨境电子商务</w:t>
                  </w:r>
                  <w:bookmarkEnd w:id="5"/>
                  <w:r>
                    <w:rPr>
                      <w:rFonts w:hint="eastAsia" w:ascii="宋体" w:hAnsi="宋体" w:eastAsia="宋体" w:cs="宋体"/>
                      <w:kern w:val="0"/>
                      <w:sz w:val="21"/>
                      <w:szCs w:val="21"/>
                      <w:lang w:val="en-US" w:eastAsia="zh-CN"/>
                    </w:rPr>
                    <w:t>、电子商务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2</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泓鲤跨境电商商务</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霍尔果斯口岸</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跨境电子商务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3</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山西千俞电子商务有限公司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山西</w:t>
                  </w:r>
                  <w:r>
                    <w:rPr>
                      <w:rFonts w:ascii="Helvetica" w:hAnsi="Helvetica" w:eastAsia="Helvetica" w:cs="Helvetica"/>
                      <w:i w:val="0"/>
                      <w:iCs w:val="0"/>
                      <w:caps w:val="0"/>
                      <w:color w:val="333333"/>
                      <w:spacing w:val="0"/>
                      <w:sz w:val="21"/>
                      <w:szCs w:val="21"/>
                    </w:rPr>
                    <w:t>晋城</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跨境电子商务、电子商务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rPr>
                    <w:t>4</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山西猫要网络科技有限公司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Helvetica" w:hAnsi="Helvetica" w:cs="Helvetica"/>
                      <w:i w:val="0"/>
                      <w:iCs w:val="0"/>
                      <w:caps w:val="0"/>
                      <w:color w:val="333333"/>
                      <w:spacing w:val="0"/>
                      <w:sz w:val="21"/>
                      <w:szCs w:val="21"/>
                      <w:lang w:val="en-US" w:eastAsia="zh-CN"/>
                    </w:rPr>
                    <w:t>山西</w:t>
                  </w:r>
                  <w:r>
                    <w:rPr>
                      <w:rFonts w:ascii="Helvetica" w:hAnsi="Helvetica" w:eastAsia="Helvetica" w:cs="Helvetica"/>
                      <w:i w:val="0"/>
                      <w:iCs w:val="0"/>
                      <w:caps w:val="0"/>
                      <w:color w:val="333333"/>
                      <w:spacing w:val="0"/>
                      <w:sz w:val="21"/>
                      <w:szCs w:val="21"/>
                    </w:rPr>
                    <w:t>晋中</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跨境电子商务、电子商务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5</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天津新伟祥工业有限公司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lang w:val="en-US" w:eastAsia="zh-CN"/>
                    </w:rPr>
                  </w:pPr>
                  <w:r>
                    <w:rPr>
                      <w:rFonts w:hint="eastAsia" w:ascii="宋体" w:hAnsi="宋体" w:eastAsia="宋体" w:cs="宋体"/>
                      <w:kern w:val="0"/>
                      <w:sz w:val="21"/>
                      <w:szCs w:val="21"/>
                      <w:lang w:val="en-US" w:eastAsia="zh-CN"/>
                    </w:rPr>
                    <w:t>天津</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跨境电子商务、电子商务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6</w:t>
                  </w:r>
                </w:p>
              </w:tc>
              <w:tc>
                <w:tcPr>
                  <w:tcW w:w="3516" w:type="dxa"/>
                  <w:noWrap w:val="0"/>
                  <w:vAlign w:val="center"/>
                </w:tcPr>
                <w:p>
                  <w:pPr>
                    <w:pStyle w:val="4"/>
                    <w:keepNext w:val="0"/>
                    <w:keepLines w:val="0"/>
                    <w:pageBreakBefore w:val="0"/>
                    <w:shd w:val="clear" w:color="auto" w:fill="FFFFFF"/>
                    <w:kinsoku/>
                    <w:wordWrap/>
                    <w:overflowPunct/>
                    <w:topLinePunct w:val="0"/>
                    <w:autoSpaceDE/>
                    <w:autoSpaceDN/>
                    <w:bidi w:val="0"/>
                    <w:adjustRightInd/>
                    <w:snapToGrid/>
                    <w:spacing w:before="0" w:after="0" w:line="360" w:lineRule="auto"/>
                    <w:jc w:val="center"/>
                    <w:textAlignment w:val="auto"/>
                    <w:outlineLvl w:val="9"/>
                    <w:rPr>
                      <w:rFonts w:hint="eastAsia" w:ascii="宋体" w:hAnsi="宋体" w:eastAsia="宋体" w:cs="宋体"/>
                      <w:b w:val="0"/>
                      <w:kern w:val="0"/>
                      <w:sz w:val="21"/>
                      <w:szCs w:val="21"/>
                      <w:lang w:val="en-US" w:eastAsia="zh-CN" w:bidi="ar-SA"/>
                    </w:rPr>
                  </w:pPr>
                  <w:r>
                    <w:rPr>
                      <w:rFonts w:hint="eastAsia" w:ascii="宋体" w:hAnsi="宋体" w:eastAsia="宋体" w:cs="宋体"/>
                      <w:b w:val="0"/>
                      <w:kern w:val="0"/>
                      <w:sz w:val="21"/>
                      <w:szCs w:val="21"/>
                      <w:lang w:val="en-US" w:eastAsia="zh-CN" w:bidi="ar-SA"/>
                    </w:rPr>
                    <w:t>天津和信昌工业有限公司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天津</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跨境电子商务、电子商务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7</w:t>
                  </w:r>
                </w:p>
              </w:tc>
              <w:tc>
                <w:tcPr>
                  <w:tcW w:w="351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天津百里富工业有限公司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天津</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跨境电子商务、电子商务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988"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lang w:eastAsia="zh-CN"/>
                    </w:rPr>
                  </w:pPr>
                  <w:r>
                    <w:rPr>
                      <w:rFonts w:hint="eastAsia" w:ascii="宋体" w:hAnsi="宋体" w:eastAsia="宋体" w:cs="宋体"/>
                      <w:kern w:val="0"/>
                      <w:sz w:val="21"/>
                      <w:szCs w:val="21"/>
                      <w:lang w:val="en-US" w:eastAsia="zh-CN"/>
                    </w:rPr>
                    <w:t>8</w:t>
                  </w:r>
                </w:p>
              </w:tc>
              <w:tc>
                <w:tcPr>
                  <w:tcW w:w="3516"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kern w:val="0"/>
                      <w:sz w:val="21"/>
                      <w:szCs w:val="21"/>
                    </w:rPr>
                  </w:pPr>
                  <w:r>
                    <w:rPr>
                      <w:rFonts w:hint="eastAsia" w:ascii="宋体" w:hAnsi="宋体" w:eastAsia="宋体" w:cs="宋体"/>
                      <w:kern w:val="0"/>
                      <w:sz w:val="21"/>
                      <w:szCs w:val="21"/>
                    </w:rPr>
                    <w:t>天津久增有限公司</w:t>
                  </w:r>
                </w:p>
              </w:tc>
              <w:tc>
                <w:tcPr>
                  <w:tcW w:w="1119"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天津</w:t>
                  </w:r>
                </w:p>
              </w:tc>
              <w:tc>
                <w:tcPr>
                  <w:tcW w:w="2565" w:type="dxa"/>
                  <w:noWrap w:val="0"/>
                  <w:vAlign w:val="center"/>
                </w:tcPr>
                <w:p>
                  <w:pPr>
                    <w:keepNext w:val="0"/>
                    <w:keepLines w:val="0"/>
                    <w:pageBreakBefore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1"/>
                      <w:szCs w:val="21"/>
                    </w:rPr>
                  </w:pPr>
                  <w:r>
                    <w:rPr>
                      <w:rFonts w:hint="eastAsia" w:ascii="宋体" w:hAnsi="宋体" w:eastAsia="宋体" w:cs="宋体"/>
                      <w:kern w:val="0"/>
                      <w:sz w:val="21"/>
                      <w:szCs w:val="21"/>
                      <w:lang w:val="en-US" w:eastAsia="zh-CN"/>
                    </w:rPr>
                    <w:t>跨境电子商务、电子商务</w:t>
                  </w:r>
                </w:p>
              </w:tc>
            </w:tr>
          </w:tbl>
          <w:p>
            <w:pPr>
              <w:keepNext w:val="0"/>
              <w:keepLines w:val="0"/>
              <w:pageBreakBefore w:val="0"/>
              <w:widowControl w:val="0"/>
              <w:kinsoku/>
              <w:wordWrap/>
              <w:overflowPunct/>
              <w:topLinePunct w:val="0"/>
              <w:autoSpaceDE/>
              <w:autoSpaceDN/>
              <w:bidi w:val="0"/>
              <w:adjustRightInd/>
              <w:snapToGrid/>
              <w:spacing w:line="360" w:lineRule="auto"/>
              <w:ind w:firstLine="398" w:firstLineChars="200"/>
              <w:jc w:val="left"/>
              <w:textAlignment w:val="auto"/>
              <w:rPr>
                <w:rFonts w:hint="eastAsia" w:ascii="宋体" w:hAnsi="宋体" w:eastAsia="宋体" w:cs="宋体"/>
                <w:b/>
                <w:bCs/>
                <w:spacing w:val="-6"/>
                <w:sz w:val="21"/>
                <w:szCs w:val="21"/>
                <w:lang w:val="en-US" w:eastAsia="zh-CN"/>
              </w:rPr>
            </w:pPr>
            <w:bookmarkStart w:id="6" w:name="_Toc13625"/>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4.调研过程</w:t>
            </w:r>
            <w:bookmarkEnd w:id="6"/>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sz w:val="24"/>
                <w:szCs w:val="24"/>
                <w:highlight w:val="none"/>
                <w:lang w:val="en-US" w:eastAsia="zh-CN"/>
              </w:rPr>
              <w:t>2023年10月--2024年2月，</w:t>
            </w:r>
            <w:r>
              <w:rPr>
                <w:rFonts w:hint="eastAsia" w:ascii="宋体" w:hAnsi="宋体" w:eastAsia="宋体" w:cs="宋体"/>
                <w:b w:val="0"/>
                <w:bCs w:val="0"/>
                <w:sz w:val="24"/>
                <w:szCs w:val="24"/>
                <w:highlight w:val="none"/>
                <w:lang w:val="en-US" w:eastAsia="zh-CN"/>
              </w:rPr>
              <w:t>开展跨境电商文献研究（跨境电商政策、跨境试点发展情况、跨境电商行业发展白皮书等）；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 w:val="0"/>
                <w:bCs w:val="0"/>
                <w:sz w:val="24"/>
                <w:szCs w:val="24"/>
                <w:highlight w:val="none"/>
                <w:lang w:val="en-US" w:eastAsia="zh-CN"/>
              </w:rPr>
            </w:pPr>
            <w:r>
              <w:rPr>
                <w:rFonts w:hint="eastAsia" w:ascii="宋体" w:hAnsi="宋体" w:eastAsia="宋体" w:cs="宋体"/>
                <w:sz w:val="24"/>
                <w:szCs w:val="24"/>
                <w:highlight w:val="none"/>
                <w:lang w:val="en-US" w:eastAsia="zh-CN"/>
              </w:rPr>
              <w:t>2024年3月--2024年4月，开展</w:t>
            </w:r>
            <w:r>
              <w:rPr>
                <w:rFonts w:hint="eastAsia" w:ascii="宋体" w:hAnsi="宋体" w:eastAsia="宋体" w:cs="宋体"/>
                <w:b w:val="0"/>
                <w:bCs w:val="0"/>
                <w:sz w:val="24"/>
                <w:szCs w:val="24"/>
                <w:highlight w:val="none"/>
                <w:lang w:val="en-US" w:eastAsia="zh-CN"/>
              </w:rPr>
              <w:t>企业访谈及调研问卷（学院提交统计表、提供调研企业和院校数量，制定线下访谈提纲、组织开展调研，及时反馈数据）；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2024年5月--2024年6月，调研结果分析、完成调研总结报告。</w:t>
            </w:r>
          </w:p>
          <w:bookmarkEnd w:id="0"/>
          <w:p>
            <w:pPr>
              <w:bidi w:val="0"/>
              <w:spacing w:line="360" w:lineRule="auto"/>
              <w:ind w:firstLine="422" w:firstLineChars="200"/>
              <w:outlineLvl w:val="9"/>
              <w:rPr>
                <w:rFonts w:hint="eastAsia" w:ascii="黑体" w:hAnsi="黑体" w:eastAsia="黑体" w:cs="黑体"/>
                <w:b/>
                <w:bCs/>
                <w:sz w:val="21"/>
                <w:szCs w:val="21"/>
                <w:lang w:val="en-US" w:eastAsia="zh-CN"/>
              </w:rPr>
            </w:pPr>
            <w:bookmarkStart w:id="7" w:name="_Toc27906"/>
            <w:bookmarkStart w:id="8" w:name="_Toc1651"/>
          </w:p>
          <w:p>
            <w:pPr>
              <w:bidi w:val="0"/>
              <w:spacing w:line="360" w:lineRule="auto"/>
              <w:ind w:firstLine="562" w:firstLineChars="200"/>
              <w:outlineLvl w:val="9"/>
              <w:rPr>
                <w:rFonts w:hint="eastAsia" w:ascii="黑体" w:hAnsi="黑体" w:eastAsia="黑体" w:cs="黑体"/>
                <w:b w:val="0"/>
                <w:bCs w:val="0"/>
                <w:sz w:val="28"/>
                <w:szCs w:val="28"/>
                <w:lang w:val="en-US" w:eastAsia="zh-CN"/>
              </w:rPr>
            </w:pPr>
            <w:r>
              <w:rPr>
                <w:rFonts w:hint="eastAsia" w:ascii="黑体" w:hAnsi="黑体" w:eastAsia="黑体" w:cs="黑体"/>
                <w:b/>
                <w:bCs/>
                <w:sz w:val="28"/>
                <w:szCs w:val="28"/>
                <w:lang w:val="en-US" w:eastAsia="zh-CN"/>
              </w:rPr>
              <w:t>二、调研结果分析</w:t>
            </w:r>
            <w:bookmarkEnd w:id="7"/>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（一）行业现状及发展趋势</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未来三年内，我国跨境电商人才缺口大约已逾1600多万，其中，从岗位层面来看，专业技能岗位缺口占比61%；从学历层面来看，高职人才缺口占比36%；从所缺技能层面来看，互联网营销技能人才缺口占比84.2%。这表明，跨境电商类企业对高职院校的跨境电商人才培养提出了明确的要求，不仅有数量上的需求，还有核心技能的需求。这对高校的跨境电子商务人才培养提出了新的挑战。根据8家企业调研分析可以发现，未来 3-5 年内，相关行业对</w:t>
            </w:r>
            <w:bookmarkStart w:id="9" w:name="OLE_LINK2"/>
            <w:r>
              <w:rPr>
                <w:rFonts w:hint="eastAsia" w:ascii="宋体" w:hAnsi="宋体" w:eastAsia="宋体" w:cs="宋体"/>
                <w:sz w:val="24"/>
                <w:szCs w:val="24"/>
                <w:lang w:val="en-US" w:eastAsia="zh-CN"/>
              </w:rPr>
              <w:t>跨境电子商务专业毕业生的需求</w:t>
            </w:r>
            <w:bookmarkEnd w:id="9"/>
            <w:r>
              <w:rPr>
                <w:rFonts w:hint="eastAsia" w:ascii="宋体" w:hAnsi="宋体" w:eastAsia="宋体" w:cs="宋体"/>
                <w:sz w:val="24"/>
                <w:szCs w:val="24"/>
                <w:lang w:val="en-US" w:eastAsia="zh-CN"/>
              </w:rPr>
              <w:t>较大。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center"/>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3992245" cy="1969770"/>
                  <wp:effectExtent l="0" t="0" r="8255" b="11430"/>
                  <wp:docPr id="29" name="图片 2" descr="0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03 (1)"/>
                          <pic:cNvPicPr>
                            <a:picLocks noChangeAspect="1"/>
                          </pic:cNvPicPr>
                        </pic:nvPicPr>
                        <pic:blipFill>
                          <a:blip r:embed="rId7"/>
                          <a:srcRect t="12914"/>
                          <a:stretch>
                            <a:fillRect/>
                          </a:stretch>
                        </pic:blipFill>
                        <pic:spPr>
                          <a:xfrm>
                            <a:off x="0" y="0"/>
                            <a:ext cx="3992245" cy="19697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图1 跨境电子商务专业毕业生的需求程度</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跨境电子商务作为一个新兴产业，其平台运营和管理等专业人才在市场上非常紧缺，未来一段时期我国对跨境电子商务专业人才有极大的需求，专业前景空前广阔，但目前国内院校对跨境电子商务的人才培养还相对滞后，目前设立国际贸易专业和电子商务专业的学校，每年向企业输送大量国际贸易、电子商务、国际商务、计算机等专业的学生，但是兼具国际贸易和电子商务特征的跨境电子商务企业对人才的综合性需求较强，单一的专业可能无法满足企业对人才的需求。根据企业调研发现，公司内从事跨境电子商务专业人员匮乏，急需跨境电商专业人才。</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drawing>
                <wp:inline distT="0" distB="0" distL="114300" distR="114300">
                  <wp:extent cx="4388485" cy="2486660"/>
                  <wp:effectExtent l="0" t="0" r="12065" b="8890"/>
                  <wp:docPr id="25" name="图片 3" descr="ch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hart(1)"/>
                          <pic:cNvPicPr>
                            <a:picLocks noChangeAspect="1"/>
                          </pic:cNvPicPr>
                        </pic:nvPicPr>
                        <pic:blipFill>
                          <a:blip r:embed="rId8"/>
                          <a:stretch>
                            <a:fillRect/>
                          </a:stretch>
                        </pic:blipFill>
                        <pic:spPr>
                          <a:xfrm>
                            <a:off x="0" y="0"/>
                            <a:ext cx="4388485" cy="248666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图2 从事跨境电子商务专业人员占全体员工的比例</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（二）职业岗位群及岗位分析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通过调研，我们发现跨境电商企业岗位主要分为四类人才：管理型人才、技术型、专业性人才和商务型人才。主要有：跨境电商客服、跨境电商销售/推广、跨境电商产品开发专员、跨境电商编辑/翻译/文案/文案策划、仓储物流、网页设计师/美工、跨境支付渠道、报关员、技术人员（网络维护等）风控、跨境电商业务经理、跨境电商运营总监等。</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第一，管理型人才：跨境电商业务经理、跨境电商运营经理、产品经理等中高层管理人员。这类招聘岗位要求较高，应具有多年多平台运作经验，要求有市场敏感度和平台规划、建设、运营、管理经验。</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第二，技术型人才：跨境电商主管，技术总监。要求有网站建设规划，网页设计、新媒体推广能力，计算机要求高。</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第三，专业性人才：跨境电商编辑/翻译/文案/文案策划，要求招聘语言类专业；网页设计师/美工岗位，招聘专业是美术设计或艺术类、设计类相关专业；技术人员（网络维护）等岗位，招聘专业是电子商务类、计算机类专业。</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lang w:val="en-US" w:eastAsia="zh-CN"/>
              </w:rPr>
              <w:t>第四，商务型人才：跨境电商销售/推广、跨境电商产品开发专员、跨境电商客服、跨境电商运营专员、报关员、仓储物流等。经调研，这类岗位招聘专业集中在国际贸易、电子商务、商务英语专业等相关专业，既要懂产品、运营、营销、策划、推广、客服，还要熟悉平台运作规则、语言沟通无障碍，需要整合国际贸易、电子商务、商务外语三个专业的复合型人才；学历一般要求专科以上。</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highlight w:val="none"/>
              </w:rPr>
            </w:pPr>
            <w:r>
              <w:rPr>
                <w:rFonts w:hint="eastAsia" w:ascii="宋体" w:hAnsi="宋体" w:eastAsia="宋体" w:cs="宋体"/>
                <w:b/>
                <w:bCs/>
                <w:spacing w:val="-6"/>
                <w:sz w:val="24"/>
                <w:szCs w:val="24"/>
                <w:highlight w:val="none"/>
                <w:lang w:val="en-US" w:eastAsia="zh-CN"/>
              </w:rPr>
              <w:t>（三）相关职业岗位对知识、技能及职业素养要求分析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highlight w:val="none"/>
                <w:lang w:val="en-US" w:eastAsia="zh-CN"/>
              </w:rPr>
              <w:t>根据8家企</w:t>
            </w:r>
            <w:r>
              <w:rPr>
                <w:rFonts w:hint="eastAsia" w:ascii="宋体" w:hAnsi="宋体" w:eastAsia="宋体" w:cs="宋体"/>
                <w:sz w:val="24"/>
                <w:szCs w:val="24"/>
                <w:lang w:val="en-US" w:eastAsia="zh-CN"/>
              </w:rPr>
              <w:t>业调研分析可以发现，目前跨境电子商务相关企业人员涉及的主要岗位为：运营类岗位、管理类岗位、客服类岗位、物流类岗位、美工岗位。</w:t>
            </w:r>
          </w:p>
          <w:p>
            <w:pPr>
              <w:pStyle w:val="5"/>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4445000" cy="2518410"/>
                  <wp:effectExtent l="9525" t="9525" r="22225" b="24765"/>
                  <wp:docPr id="26"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01"/>
                          <pic:cNvPicPr>
                            <a:picLocks noChangeAspect="1"/>
                          </pic:cNvPicPr>
                        </pic:nvPicPr>
                        <pic:blipFill>
                          <a:blip r:embed="rId9"/>
                          <a:stretch>
                            <a:fillRect/>
                          </a:stretch>
                        </pic:blipFill>
                        <pic:spPr>
                          <a:xfrm>
                            <a:off x="0" y="0"/>
                            <a:ext cx="4445000" cy="2518410"/>
                          </a:xfrm>
                          <a:prstGeom prst="rect">
                            <a:avLst/>
                          </a:prstGeom>
                          <a:noFill/>
                          <a:ln w="9525" cap="flat" cmpd="sng">
                            <a:solidFill>
                              <a:srgbClr val="000000"/>
                            </a:solidFill>
                            <a:prstDash val="solid"/>
                            <a:miter/>
                            <a:headEnd type="none" w="med" len="med"/>
                            <a:tailEnd type="none" w="med" len="med"/>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图3 核心岗位比例图</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针对涉及的主要岗位，我们整理出具体的岗位工作任务及核心职业能力要求，见下表：</w:t>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表2 岗位工作任务及核心职业能力</w:t>
            </w:r>
          </w:p>
          <w:tbl>
            <w:tblPr>
              <w:tblStyle w:val="13"/>
              <w:tblW w:w="89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1455"/>
              <w:gridCol w:w="3045"/>
              <w:gridCol w:w="3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noWrap w:val="0"/>
                  <w:vAlign w:val="top"/>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序号</w:t>
                  </w:r>
                </w:p>
              </w:tc>
              <w:tc>
                <w:tcPr>
                  <w:tcW w:w="1455" w:type="dxa"/>
                  <w:noWrap w:val="0"/>
                  <w:vAlign w:val="top"/>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职业岗位</w:t>
                  </w:r>
                </w:p>
              </w:tc>
              <w:tc>
                <w:tcPr>
                  <w:tcW w:w="3045" w:type="dxa"/>
                  <w:noWrap w:val="0"/>
                  <w:vAlign w:val="top"/>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典型工作任务</w:t>
                  </w:r>
                </w:p>
              </w:tc>
              <w:tc>
                <w:tcPr>
                  <w:tcW w:w="3720" w:type="dxa"/>
                  <w:noWrap w:val="0"/>
                  <w:vAlign w:val="top"/>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核心职业能力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noWrap w:val="0"/>
                  <w:vAlign w:val="center"/>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跨境电商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推广专员</w:t>
                  </w:r>
                </w:p>
              </w:tc>
              <w:tc>
                <w:tcPr>
                  <w:tcW w:w="30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1.收集销售市场的信息；</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2.数据分析，策划产品促销；</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3.海外网络营销，海外社交媒体运用；</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4.海外营销渠道。</w:t>
                  </w:r>
                </w:p>
              </w:tc>
              <w:tc>
                <w:tcPr>
                  <w:tcW w:w="37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1.跨境平台活动策划运营；</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2.各平台主流营销范式与传播方式；</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3.各类社交媒体平台营销；</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4.海外线下营销渠道。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noWrap w:val="0"/>
                  <w:vAlign w:val="center"/>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跨境电商</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运营专员</w:t>
                  </w:r>
                </w:p>
              </w:tc>
              <w:tc>
                <w:tcPr>
                  <w:tcW w:w="30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1.跨境电子商务平台流程操作；</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2.平台选品、商品发布、平台基本维护与更新；</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3.平台数据分析及应用；</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4.基于平台的活动推广。</w:t>
                  </w:r>
                </w:p>
              </w:tc>
              <w:tc>
                <w:tcPr>
                  <w:tcW w:w="37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1.多语言系统的掌握能力；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2.目标市场的消费行为与市场调研能力；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3.产品熟悉及售后服务能力；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4.团队协作能力；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5.平台操作能力；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6.商品知识产权保护意识；</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7.熟记目标市场的税收政策的能力；</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8.站外营销的能力。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noWrap w:val="0"/>
                  <w:vAlign w:val="center"/>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跨境客服专员</w:t>
                  </w:r>
                </w:p>
              </w:tc>
              <w:tc>
                <w:tcPr>
                  <w:tcW w:w="30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1.收集客户信息建立客户档案；</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2.客户管理和沟通；</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3.客户回访，维护客户关系情况；</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4.质量跟踪记录等售后服务信息管理系统。</w:t>
                  </w:r>
                </w:p>
              </w:tc>
              <w:tc>
                <w:tcPr>
                  <w:tcW w:w="37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1.处理和回复客户咨询；</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2.提醒、说服客户评价；</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3.客户日常维护与管理；</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4.有效处理跨境电子商务的争议。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9" w:type="dxa"/>
                  <w:noWrap w:val="0"/>
                  <w:vAlign w:val="center"/>
                </w:tcPr>
                <w:p>
                  <w:pPr>
                    <w:pStyle w:val="5"/>
                    <w:keepNext w:val="0"/>
                    <w:keepLines w:val="0"/>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45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跨境物流专员</w:t>
                  </w:r>
                </w:p>
              </w:tc>
              <w:tc>
                <w:tcPr>
                  <w:tcW w:w="304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1.负责仓库对接，跟进发货情况。以及仓库数据的统计，存档，数据的输入；</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2.负责仓库日常物资的验收，入库，码放，保管，盘点，对账等工作（对应仓库的账单核对，库存审核等）；</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3.每天根据运营给出的订单，配货，打包，发货，做产品出货前检查和验货。协调沟通货运发货计划，对产品的基本发货需求提供帮助，确保公司发</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货正常顺利；</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4.负责保持仓库内货品和环境的清洁，整齐和卫生工作。</w:t>
                  </w:r>
                </w:p>
              </w:tc>
              <w:tc>
                <w:tcPr>
                  <w:tcW w:w="372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1.定期审核物流安排的合理性，控制和降低物流运营成本；</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2.分析与仓库相关的关键数据，协助仓管KPI考核；</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3.根据业务部的销售计划，建立合理完善的运输计划；</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4.对物流服务商的评估、选择、考核工作；</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rPr>
                  </w:pPr>
                  <w:r>
                    <w:rPr>
                      <w:rFonts w:hint="eastAsia" w:ascii="宋体" w:hAnsi="宋体" w:eastAsia="宋体" w:cs="宋体"/>
                      <w:color w:val="000000"/>
                      <w:kern w:val="0"/>
                      <w:sz w:val="21"/>
                      <w:szCs w:val="21"/>
                      <w:lang w:val="en-US" w:eastAsia="zh-CN" w:bidi="ar"/>
                    </w:rPr>
                    <w:t>5.本岗位工作的数据统计、分析与改进工作，定期总结汇报；</w:t>
                  </w:r>
                </w:p>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color w:val="000000"/>
                      <w:kern w:val="0"/>
                      <w:sz w:val="21"/>
                      <w:szCs w:val="21"/>
                      <w:lang w:val="en-US" w:eastAsia="zh-CN" w:bidi="ar"/>
                    </w:rPr>
                    <w:t>6.负责货物运输和配送计划调度、供应商跟进管理及相关单据管理。</w:t>
                  </w:r>
                </w:p>
              </w:tc>
            </w:tr>
          </w:tbl>
          <w:p>
            <w:pPr>
              <w:keepNext w:val="0"/>
              <w:keepLines w:val="0"/>
              <w:pageBreakBefore w:val="0"/>
              <w:widowControl w:val="0"/>
              <w:kinsoku/>
              <w:wordWrap/>
              <w:overflowPunct/>
              <w:topLinePunct w:val="0"/>
              <w:autoSpaceDE/>
              <w:autoSpaceDN/>
              <w:bidi w:val="0"/>
              <w:adjustRightInd/>
              <w:snapToGrid/>
              <w:spacing w:line="360" w:lineRule="auto"/>
              <w:ind w:firstLine="398" w:firstLineChars="200"/>
              <w:jc w:val="left"/>
              <w:textAlignment w:val="auto"/>
              <w:rPr>
                <w:rFonts w:hint="eastAsia" w:ascii="宋体" w:hAnsi="宋体" w:eastAsia="宋体" w:cs="宋体"/>
                <w:b/>
                <w:bCs/>
                <w:spacing w:val="-6"/>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（四）相关岗位对从业资格或职业资格要求分析</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人才学历层次来看，进出口企业人才学历趋于一致。目前跨境电商企业人才学历层次主要集中在本科、高职两个学历阶段，其次是研究生学历及中职等其他学历段的人才。企业对于相关专业毕业生的能力要求更多的是体现在跨境电商运营能力、客服能力、物流管理能力及外语运用能力。</w:t>
            </w:r>
          </w:p>
          <w:p>
            <w:pPr>
              <w:pStyle w:val="5"/>
              <w:keepNext w:val="0"/>
              <w:keepLines w:val="0"/>
              <w:pageBreakBefore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758565" cy="2130425"/>
                  <wp:effectExtent l="0" t="0" r="13335" b="3175"/>
                  <wp:docPr id="27" name="图片 5"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descr="02"/>
                          <pic:cNvPicPr>
                            <a:picLocks noChangeAspect="1"/>
                          </pic:cNvPicPr>
                        </pic:nvPicPr>
                        <pic:blipFill>
                          <a:blip r:embed="rId10"/>
                          <a:stretch>
                            <a:fillRect/>
                          </a:stretch>
                        </pic:blipFill>
                        <pic:spPr>
                          <a:xfrm>
                            <a:off x="0" y="0"/>
                            <a:ext cx="3758565" cy="21304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图4 核心职业能力平均综合得分</w:t>
            </w:r>
          </w:p>
          <w:p>
            <w:pPr>
              <w:keepNext w:val="0"/>
              <w:keepLines w:val="0"/>
              <w:pageBreakBefore w:val="0"/>
              <w:widowControl w:val="0"/>
              <w:kinsoku/>
              <w:wordWrap/>
              <w:overflowPunct/>
              <w:topLinePunct w:val="0"/>
              <w:autoSpaceDE/>
              <w:autoSpaceDN/>
              <w:bidi w:val="0"/>
              <w:adjustRightInd/>
              <w:snapToGrid/>
              <w:spacing w:line="360" w:lineRule="auto"/>
              <w:ind w:firstLine="398" w:firstLineChars="200"/>
              <w:jc w:val="left"/>
              <w:textAlignment w:val="auto"/>
              <w:rPr>
                <w:rFonts w:hint="eastAsia" w:ascii="宋体" w:hAnsi="宋体" w:eastAsia="宋体" w:cs="宋体"/>
                <w:b/>
                <w:bCs/>
                <w:spacing w:val="-6"/>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（五）行业职业培训及取证现状分析</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10" w:name="_Toc7639"/>
            <w:r>
              <w:rPr>
                <w:rFonts w:hint="eastAsia" w:ascii="宋体" w:hAnsi="宋体" w:eastAsia="宋体" w:cs="宋体"/>
                <w:b/>
                <w:bCs/>
                <w:spacing w:val="-6"/>
                <w:sz w:val="24"/>
                <w:szCs w:val="24"/>
                <w:lang w:val="en-US" w:eastAsia="zh-CN"/>
              </w:rPr>
              <w:t>1.行业职业培训现状分析</w:t>
            </w:r>
            <w:bookmarkEnd w:id="10"/>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目前，跨境电子商务已经成为国家经济发展战略的重要组成部分，但作为行业专业人才主要来源的各级高校，还没有来得及建立完善的跨境电子商务人才培养体系。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相关数据显示，82.4%的跨境电商从业人员中，53%的毕业生无法按要求完成任务。这个数据反映出这个行业的高校在人才培养方面存在一些问题。我国存在人才培养目标不明确、教师实践经验不足、校企合作有限、实践教材权威性不强等问题。即使设置了跨境电子商务课程，它仍然作为国际贸易、电子商务等专业的特色课程存在，并没有得到足够的重视。市场上缺乏权威的课程资料。相关专业的人才培养体系滞后于跨境电子商务市场的发展需求，这无疑将对跨境电子商务人才的短缺承担重要责任。</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lang w:val="en-US" w:eastAsia="zh-CN"/>
              </w:rPr>
            </w:pPr>
            <w:bookmarkStart w:id="11" w:name="_Toc15738"/>
            <w:r>
              <w:rPr>
                <w:rFonts w:hint="eastAsia" w:ascii="宋体" w:hAnsi="宋体" w:eastAsia="宋体" w:cs="宋体"/>
                <w:b/>
                <w:bCs/>
                <w:sz w:val="24"/>
                <w:szCs w:val="24"/>
                <w:lang w:val="en-US" w:eastAsia="zh-CN"/>
              </w:rPr>
              <w:t>2.行业职业取证现状分析</w:t>
            </w:r>
            <w:bookmarkEnd w:id="11"/>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根据教育部等四部门印发《关于在院校实施“学历证书+若干职业技能等级证书”制度试点方案》的通知，我们整理出跨境电商相关的职业资格证书如下：</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跨境电子商务多平台运营职业技能等级证书（厦门优优汇联信息科技股份有限公司），1+X证书制度试点的第四批职业教育培训评价组织及职业技能等级证书，跨境电子商务多平台运营职业技能等级分为三个等级：初级、中级、高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初级：主要面跨境电子商务平台运营助理、选品助理、视觉设计助理、跨境物流助理、客服专员等岗位（群），具备店铺设置与维护、产品上架、客户服务能力。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中级：主要面向跨境电子商务平台运营专员、选品专员、站外推广专员、数据分析专员、客服主管等岗位（群），具备运营数据采集分析、营销推广执行、客户服务管理能力。</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高级：主要面向的跨境电子商务平台运营主管、产品经理、站外推广主管、数据分析主管等岗位（群），具备产品分析与布局、运营数据分析与诊断、店铺营销策划能力。</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跨境电商B2B数据运营职业技能等级证书（阿里巴巴（中国）教育科技有限公司），1+X证书制度试点的第三批职业教育培训评价组织及职业技能等级证书，跨境电子商务B2B数据运营（初级、中级、高级）：主要面向跨境电子商务应用和服务企业，跨境电商运营、跨境电商营销和销售等岗位。</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highlight w:val="none"/>
                <w:lang w:val="en-US" w:eastAsia="zh-CN"/>
              </w:rPr>
              <w:t>（3）社交电商运营职业技能等级证书（中联集团教育科技有限公司），1+X证书制度试点的第四批职业教育培训评价组织及职业技能等级证书，</w:t>
            </w:r>
            <w:r>
              <w:rPr>
                <w:rFonts w:hint="eastAsia" w:ascii="宋体" w:hAnsi="宋体" w:eastAsia="宋体" w:cs="宋体"/>
                <w:sz w:val="24"/>
                <w:szCs w:val="24"/>
                <w:lang w:val="en-US" w:eastAsia="zh-CN"/>
              </w:rPr>
              <w:t>社交电商运营职业技能等级分为三个等级：初级、中级、高级。</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初级：主要面向社交电子商务应用企业和服务企业的社交电商产品运营、内容运营、用户运营、社群运营、网络直播运营、媒体营销等社交电商专员岗位。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中级：主要面向社交电子商务应用企业和服务企业的社交电商产品运营、平台运营、用户运营、社群运营、数字媒体设计、网络直播运营、媒体营销策划、数据运营等社交电商主管岗位。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高级：主要面向社交电子商务应用企业和服务企业的社交电商运营规则、运营管理、团队管理等社交电商经理岗位。</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调研显示，企业对高职跨境电子商务专业毕业生取得的证书具有一定的要求，要求毕业生具有一定的专业技能，外语能力等。</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5269230" cy="2985770"/>
                  <wp:effectExtent l="0" t="0" r="7620" b="5080"/>
                  <wp:docPr id="28" name="图片 6" descr="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descr="chart (1)"/>
                          <pic:cNvPicPr>
                            <a:picLocks noChangeAspect="1"/>
                          </pic:cNvPicPr>
                        </pic:nvPicPr>
                        <pic:blipFill>
                          <a:blip r:embed="rId11"/>
                          <a:stretch>
                            <a:fillRect/>
                          </a:stretch>
                        </pic:blipFill>
                        <pic:spPr>
                          <a:xfrm>
                            <a:off x="0" y="0"/>
                            <a:ext cx="5269230" cy="298577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snapToGrid/>
              <w:spacing w:line="360" w:lineRule="auto"/>
              <w:jc w:val="center"/>
              <w:textAlignment w:val="auto"/>
              <w:outlineLvl w:val="9"/>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图5 高职跨境电子商务专业毕业生取得的证书</w:t>
            </w:r>
          </w:p>
          <w:bookmarkEnd w:id="8"/>
          <w:p>
            <w:pPr>
              <w:bidi w:val="0"/>
              <w:spacing w:line="360" w:lineRule="auto"/>
              <w:ind w:firstLine="422" w:firstLineChars="200"/>
              <w:outlineLvl w:val="9"/>
              <w:rPr>
                <w:rFonts w:hint="eastAsia" w:ascii="黑体" w:hAnsi="黑体" w:eastAsia="黑体" w:cs="黑体"/>
                <w:b/>
                <w:bCs/>
                <w:sz w:val="21"/>
                <w:szCs w:val="21"/>
                <w:lang w:val="en-US" w:eastAsia="zh-CN"/>
              </w:rPr>
            </w:pPr>
            <w:bookmarkStart w:id="12" w:name="_Toc22551"/>
            <w:bookmarkStart w:id="13" w:name="_Toc28894"/>
          </w:p>
          <w:p>
            <w:pPr>
              <w:bidi w:val="0"/>
              <w:spacing w:line="360" w:lineRule="auto"/>
              <w:ind w:firstLine="562" w:firstLineChars="200"/>
              <w:outlineLvl w:val="9"/>
              <w:rPr>
                <w:rFonts w:hint="eastAsia" w:ascii="黑体" w:hAnsi="黑体" w:eastAsia="黑体" w:cs="黑体"/>
                <w:b/>
                <w:bCs/>
                <w:sz w:val="28"/>
                <w:szCs w:val="28"/>
                <w:lang w:val="en-US" w:eastAsia="zh-CN"/>
              </w:rPr>
            </w:pPr>
            <w:r>
              <w:rPr>
                <w:rFonts w:hint="eastAsia" w:ascii="黑体" w:hAnsi="黑体" w:eastAsia="黑体" w:cs="黑体"/>
                <w:b/>
                <w:bCs/>
                <w:sz w:val="28"/>
                <w:szCs w:val="28"/>
                <w:lang w:val="en-US" w:eastAsia="zh-CN"/>
              </w:rPr>
              <w:t>三、调研结论及建议</w:t>
            </w:r>
            <w:bookmarkEnd w:id="12"/>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（一）调研结论</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根据对企业的调研，我们得出跨境电商专业的就业面向应重点放在中小型外贸企业，他们的人才需求比较大，公司未来3-5年主营业务为B2C类型进出口业务，对外语能力有较高的要求，偏重于运营类岗位。因此我们在制定人才培养方案时，应增加专业外语课程的课时，并对学生的运营类课程进行整体优化，力争培养企业一线技术技能型人才。</w:t>
            </w:r>
          </w:p>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根据对兄弟院校的调研结构，目前整个新疆地区，高职院校开设跨境电子商务专业的学校仅有1家，伊犁州地区现有2所高职院校，因师资、设备等软硬条件不足，均未开设跨境电子商务专业。人才培养和专业课程设置应充分组织企业专家进行论证，并根据每年的行业形势进行动态调整以适应其飞速发展，力求形成一套区别于国际贸易和电子商务，真正适应本区域跨境电商发展的人才培养模式和具备本校特色的专业课程体系。</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3.通过网络、媒体及招生资料等方式全方位对专业进行立体宣传，组织学生参加跨境电商技能竞赛，扩大该专业在普通民众中的影响力，鼓励考生优先选择。</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r>
              <w:rPr>
                <w:rFonts w:hint="eastAsia" w:ascii="宋体" w:hAnsi="宋体" w:eastAsia="宋体" w:cs="宋体"/>
                <w:b/>
                <w:bCs/>
                <w:spacing w:val="-6"/>
                <w:sz w:val="24"/>
                <w:szCs w:val="24"/>
                <w:lang w:val="en-US" w:eastAsia="zh-CN"/>
              </w:rPr>
              <w:t>（二）专业建设与教学建议</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14" w:name="_Toc11230"/>
            <w:r>
              <w:rPr>
                <w:rFonts w:hint="eastAsia" w:ascii="宋体" w:hAnsi="宋体" w:eastAsia="宋体" w:cs="宋体"/>
                <w:b/>
                <w:bCs/>
                <w:spacing w:val="-6"/>
                <w:sz w:val="24"/>
                <w:szCs w:val="24"/>
                <w:lang w:val="en-US" w:eastAsia="zh-CN"/>
              </w:rPr>
              <w:t>1.科学规划专业与课程建设</w:t>
            </w:r>
            <w:bookmarkEnd w:id="14"/>
          </w:p>
          <w:p>
            <w:pPr>
              <w:pStyle w:val="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在搭建跨境电商课程设置上，应根据本地产业链需求及学校办学特色，重点应面向跨境新媒体运营、跨境客户服务、跨境电商营销策划等岗位，坚持跨境专业课程和职业岗位对接的原则，加强跨境电商职业能力分析，梳理对应的专业核心课程，针对岗位职业技能搭建课程体系，突出跨境电子商务职业岗位能力的培养，构建具备竞争优势的跨境专业课程设置。</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15" w:name="_Toc21794"/>
            <w:r>
              <w:rPr>
                <w:rFonts w:hint="eastAsia" w:ascii="宋体" w:hAnsi="宋体" w:eastAsia="宋体" w:cs="宋体"/>
                <w:b/>
                <w:bCs/>
                <w:spacing w:val="-6"/>
                <w:sz w:val="24"/>
                <w:szCs w:val="24"/>
                <w:lang w:val="en-US" w:eastAsia="zh-CN"/>
              </w:rPr>
              <w:t>2.加强师资队伍建设</w:t>
            </w:r>
            <w:bookmarkEnd w:id="15"/>
          </w:p>
          <w:p>
            <w:pPr>
              <w:pStyle w:val="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培训、认证、参与跨境电商实践，积累新技术与技能，提高师资能力水平。</w:t>
            </w:r>
          </w:p>
          <w:p>
            <w:pPr>
              <w:keepNext w:val="0"/>
              <w:keepLines w:val="0"/>
              <w:pageBreakBefore w:val="0"/>
              <w:widowControl w:val="0"/>
              <w:kinsoku/>
              <w:wordWrap/>
              <w:overflowPunct/>
              <w:topLinePunct w:val="0"/>
              <w:autoSpaceDE/>
              <w:autoSpaceDN/>
              <w:bidi w:val="0"/>
              <w:adjustRightInd/>
              <w:snapToGrid/>
              <w:spacing w:line="360" w:lineRule="auto"/>
              <w:ind w:firstLine="458" w:firstLineChars="200"/>
              <w:jc w:val="left"/>
              <w:textAlignment w:val="auto"/>
              <w:rPr>
                <w:rFonts w:hint="eastAsia" w:ascii="宋体" w:hAnsi="宋体" w:eastAsia="宋体" w:cs="宋体"/>
                <w:b/>
                <w:bCs/>
                <w:spacing w:val="-6"/>
                <w:sz w:val="24"/>
                <w:szCs w:val="24"/>
                <w:lang w:val="en-US" w:eastAsia="zh-CN"/>
              </w:rPr>
            </w:pPr>
            <w:bookmarkStart w:id="16" w:name="_Toc32061"/>
            <w:r>
              <w:rPr>
                <w:rFonts w:hint="eastAsia" w:ascii="宋体" w:hAnsi="宋体" w:eastAsia="宋体" w:cs="宋体"/>
                <w:b/>
                <w:bCs/>
                <w:spacing w:val="-6"/>
                <w:sz w:val="24"/>
                <w:szCs w:val="24"/>
                <w:lang w:val="en-US" w:eastAsia="zh-CN"/>
              </w:rPr>
              <w:t>3.完善实训教学条件</w:t>
            </w:r>
            <w:bookmarkEnd w:id="16"/>
          </w:p>
          <w:p>
            <w:pPr>
              <w:pStyle w:val="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学校应通过调查，与第三方企业签订实习合同，传送应届生到第三方服务商企业开展实操训练及岗位培训，让学生切实体验跨境电商所涉及的跨境电商平台运营知识、新媒体运营知识、国际贸易专业知识，熟识新媒体运营、跨境物流、报关报检、跨境支付、出口退税等操作程序。</w:t>
            </w:r>
          </w:p>
          <w:p>
            <w:pPr>
              <w:keepNext w:val="0"/>
              <w:keepLines w:val="0"/>
              <w:pageBreakBefore w:val="0"/>
              <w:kinsoku/>
              <w:wordWrap/>
              <w:overflowPunct/>
              <w:topLinePunct w:val="0"/>
              <w:autoSpaceDE/>
              <w:autoSpaceDN/>
              <w:bidi w:val="0"/>
              <w:adjustRightInd/>
              <w:snapToGrid/>
              <w:spacing w:line="360" w:lineRule="auto"/>
              <w:ind w:firstLine="482" w:firstLineChars="200"/>
              <w:textAlignment w:val="auto"/>
              <w:outlineLvl w:val="9"/>
              <w:rPr>
                <w:rFonts w:hint="eastAsia" w:ascii="宋体" w:hAnsi="宋体" w:eastAsia="宋体" w:cs="宋体"/>
                <w:b/>
                <w:bCs/>
                <w:sz w:val="24"/>
                <w:szCs w:val="24"/>
                <w:lang w:val="en-US" w:eastAsia="zh-CN"/>
              </w:rPr>
            </w:pPr>
            <w:bookmarkStart w:id="17" w:name="_Toc9256"/>
            <w:r>
              <w:rPr>
                <w:rFonts w:hint="eastAsia" w:ascii="宋体" w:hAnsi="宋体" w:eastAsia="宋体" w:cs="宋体"/>
                <w:b/>
                <w:bCs/>
                <w:sz w:val="24"/>
                <w:szCs w:val="24"/>
                <w:lang w:val="en-US" w:eastAsia="zh-CN"/>
              </w:rPr>
              <w:t>4.外部学习极为重要</w:t>
            </w:r>
            <w:bookmarkEnd w:id="17"/>
          </w:p>
          <w:p>
            <w:pPr>
              <w:pStyle w:val="5"/>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黑体" w:hAnsi="黑体" w:eastAsia="黑体" w:cs="黑体"/>
                <w:b/>
                <w:bCs/>
                <w:sz w:val="28"/>
                <w:szCs w:val="28"/>
                <w:lang w:val="en-US" w:eastAsia="zh-CN"/>
              </w:rPr>
            </w:pPr>
            <w:r>
              <w:rPr>
                <w:rFonts w:hint="eastAsia" w:ascii="宋体" w:hAnsi="宋体" w:eastAsia="宋体" w:cs="宋体"/>
                <w:kern w:val="2"/>
                <w:sz w:val="24"/>
                <w:szCs w:val="24"/>
                <w:lang w:val="en-US" w:eastAsia="zh-CN" w:bidi="ar-SA"/>
              </w:rPr>
              <w:t>在新疆由于地理位置因素，较为重要的外语交流工具是俄语、英语，既是跨境电商有效交流贸易的一大介质，也是推进跨境电商行业走向更长远的辅助，跨境电商专业人才培养应加强学生的俄语、英语学习能力。</w:t>
            </w:r>
            <w:bookmarkEnd w:id="13"/>
          </w:p>
          <w:bookmarkEnd w:id="1"/>
          <w:p>
            <w:pPr>
              <w:keepNext w:val="0"/>
              <w:keepLines w:val="0"/>
              <w:pageBreakBefore w:val="0"/>
              <w:kinsoku/>
              <w:wordWrap/>
              <w:overflowPunct/>
              <w:topLinePunct w:val="0"/>
              <w:autoSpaceDE/>
              <w:autoSpaceDN/>
              <w:bidi w:val="0"/>
              <w:adjustRightInd/>
              <w:snapToGrid/>
              <w:spacing w:line="360" w:lineRule="auto"/>
              <w:ind w:firstLine="480" w:firstLineChars="200"/>
              <w:textAlignment w:val="auto"/>
              <w:outlineLvl w:val="9"/>
              <w:rPr>
                <w:rFonts w:hint="eastAsia" w:ascii="方正仿宋_GBK" w:hAnsi="方正仿宋_GBK" w:eastAsia="方正仿宋_GBK" w:cs="方正仿宋_GBK"/>
                <w:color w:val="auto"/>
                <w:sz w:val="24"/>
                <w:szCs w:val="24"/>
                <w:u w:val="none"/>
                <w:lang w:val="en-US" w:eastAsia="zh-CN"/>
              </w:rPr>
            </w:pPr>
          </w:p>
        </w:tc>
      </w:tr>
    </w:tbl>
    <w:p>
      <w:pPr>
        <w:spacing w:line="580" w:lineRule="exact"/>
        <w:jc w:val="center"/>
        <w:rPr>
          <w:rFonts w:hint="eastAsia" w:ascii="方正小标宋_GBK" w:hAnsi="方正小标宋_GBK" w:eastAsia="方正小标宋_GBK" w:cs="方正小标宋_GBK"/>
          <w:color w:val="auto"/>
          <w:sz w:val="44"/>
          <w:szCs w:val="44"/>
          <w:u w:val="none"/>
        </w:rPr>
      </w:pPr>
    </w:p>
    <w:p>
      <w:pPr>
        <w:spacing w:line="580" w:lineRule="exact"/>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专业主要带头人简介</w:t>
      </w:r>
    </w:p>
    <w:tbl>
      <w:tblPr>
        <w:tblStyle w:val="12"/>
        <w:tblW w:w="939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5"/>
        <w:gridCol w:w="411"/>
        <w:gridCol w:w="663"/>
        <w:gridCol w:w="568"/>
        <w:gridCol w:w="805"/>
        <w:gridCol w:w="861"/>
        <w:gridCol w:w="418"/>
        <w:gridCol w:w="716"/>
        <w:gridCol w:w="232"/>
        <w:gridCol w:w="458"/>
        <w:gridCol w:w="869"/>
        <w:gridCol w:w="307"/>
        <w:gridCol w:w="484"/>
        <w:gridCol w:w="343"/>
        <w:gridCol w:w="102"/>
        <w:gridCol w:w="15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5"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姓名</w:t>
            </w:r>
          </w:p>
        </w:tc>
        <w:tc>
          <w:tcPr>
            <w:tcW w:w="1642" w:type="dxa"/>
            <w:gridSpan w:val="3"/>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李娜</w:t>
            </w:r>
          </w:p>
        </w:tc>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性别</w:t>
            </w:r>
          </w:p>
        </w:tc>
        <w:tc>
          <w:tcPr>
            <w:tcW w:w="12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女</w:t>
            </w:r>
          </w:p>
        </w:tc>
        <w:tc>
          <w:tcPr>
            <w:tcW w:w="9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专业技术职务</w:t>
            </w:r>
          </w:p>
        </w:tc>
        <w:tc>
          <w:tcPr>
            <w:tcW w:w="16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助教</w:t>
            </w:r>
          </w:p>
        </w:tc>
        <w:tc>
          <w:tcPr>
            <w:tcW w:w="9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第一学历</w:t>
            </w:r>
          </w:p>
        </w:tc>
        <w:tc>
          <w:tcPr>
            <w:tcW w:w="1541" w:type="dxa"/>
            <w:noWrap w:val="0"/>
            <w:vAlign w:val="center"/>
          </w:tcPr>
          <w:p>
            <w:pPr>
              <w:jc w:val="center"/>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本科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15"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1642" w:type="dxa"/>
            <w:gridSpan w:val="3"/>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805"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出生年月</w:t>
            </w:r>
          </w:p>
        </w:tc>
        <w:tc>
          <w:tcPr>
            <w:tcW w:w="127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1989.06</w:t>
            </w:r>
          </w:p>
        </w:tc>
        <w:tc>
          <w:tcPr>
            <w:tcW w:w="948"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行政</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职务</w:t>
            </w:r>
          </w:p>
        </w:tc>
        <w:tc>
          <w:tcPr>
            <w:tcW w:w="16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无</w:t>
            </w:r>
          </w:p>
        </w:tc>
        <w:tc>
          <w:tcPr>
            <w:tcW w:w="929"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最后学历</w:t>
            </w:r>
          </w:p>
        </w:tc>
        <w:tc>
          <w:tcPr>
            <w:tcW w:w="1541" w:type="dxa"/>
            <w:noWrap w:val="0"/>
            <w:vAlign w:val="center"/>
          </w:tcPr>
          <w:p>
            <w:pPr>
              <w:jc w:val="center"/>
              <w:rPr>
                <w:rFonts w:hint="eastAsia" w:ascii="Times New Roman" w:hAnsi="Times New Roman" w:eastAsia="方正仿宋_GBK" w:cs="Times New Roman"/>
                <w:color w:val="auto"/>
                <w:sz w:val="24"/>
                <w:u w:val="none"/>
                <w:lang w:eastAsia="zh-CN"/>
              </w:rPr>
            </w:pPr>
            <w:r>
              <w:rPr>
                <w:rFonts w:hint="eastAsia" w:eastAsia="方正仿宋_GBK" w:cs="Times New Roman"/>
                <w:color w:val="auto"/>
                <w:sz w:val="24"/>
                <w:u w:val="none"/>
                <w:lang w:eastAsia="zh-CN"/>
              </w:rPr>
              <w:t>本科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7"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pacing w:val="-10"/>
                <w:sz w:val="24"/>
                <w:u w:val="none"/>
              </w:rPr>
            </w:pPr>
            <w:r>
              <w:rPr>
                <w:rFonts w:hint="default" w:ascii="Times New Roman" w:hAnsi="Times New Roman" w:eastAsia="方正仿宋_GBK" w:cs="Times New Roman"/>
                <w:color w:val="auto"/>
                <w:spacing w:val="-6"/>
                <w:sz w:val="24"/>
                <w:u w:val="none"/>
              </w:rPr>
              <w:t>第一学历和最后学历</w:t>
            </w:r>
            <w:r>
              <w:rPr>
                <w:rFonts w:hint="default" w:ascii="Times New Roman" w:hAnsi="Times New Roman" w:eastAsia="方正仿宋_GBK" w:cs="Times New Roman"/>
                <w:color w:val="auto"/>
                <w:spacing w:val="-10"/>
                <w:sz w:val="24"/>
                <w:u w:val="none"/>
              </w:rPr>
              <w:t>毕业时间、学校、专业</w:t>
            </w:r>
          </w:p>
        </w:tc>
        <w:tc>
          <w:tcPr>
            <w:tcW w:w="7136" w:type="dxa"/>
            <w:gridSpan w:val="1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r>
              <w:rPr>
                <w:rFonts w:hint="eastAsia" w:eastAsia="方正仿宋_GBK" w:cs="Times New Roman"/>
                <w:color w:val="auto"/>
                <w:sz w:val="24"/>
                <w:u w:val="none"/>
                <w:lang w:val="en-US" w:eastAsia="zh-CN"/>
              </w:rPr>
              <w:t>2013.06毕业于石河子大学电子商务专业</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7" w:type="dxa"/>
            <w:gridSpan w:val="4"/>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主要从事工作与</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研究方向</w:t>
            </w:r>
          </w:p>
        </w:tc>
        <w:tc>
          <w:tcPr>
            <w:tcW w:w="7136" w:type="dxa"/>
            <w:gridSpan w:val="1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方正仿宋_GBK" w:cs="Times New Roman"/>
                <w:color w:val="auto"/>
                <w:sz w:val="24"/>
                <w:u w:val="none"/>
                <w:lang w:eastAsia="zh-CN"/>
              </w:rPr>
            </w:pPr>
            <w:r>
              <w:rPr>
                <w:rFonts w:hint="default" w:ascii="Times New Roman" w:hAnsi="Times New Roman" w:eastAsia="方正仿宋_GBK" w:cs="Times New Roman"/>
                <w:color w:val="auto"/>
                <w:sz w:val="24"/>
                <w:u w:val="none"/>
                <w:lang w:val="en-US" w:eastAsia="zh-CN"/>
              </w:rPr>
              <w:t>本人主要从事商贸类专业教学研究工作，重点关注</w:t>
            </w:r>
            <w:r>
              <w:rPr>
                <w:rFonts w:hint="eastAsia" w:ascii="Times New Roman" w:hAnsi="Times New Roman" w:eastAsia="方正仿宋_GBK" w:cs="Times New Roman"/>
                <w:color w:val="auto"/>
                <w:sz w:val="24"/>
                <w:u w:val="none"/>
                <w:lang w:val="en-US" w:eastAsia="zh-CN"/>
              </w:rPr>
              <w:t>移动商务、物流</w:t>
            </w:r>
            <w:r>
              <w:rPr>
                <w:rFonts w:hint="default" w:ascii="Times New Roman" w:hAnsi="Times New Roman" w:eastAsia="方正仿宋_GBK" w:cs="Times New Roman"/>
                <w:color w:val="auto"/>
                <w:sz w:val="24"/>
                <w:u w:val="none"/>
                <w:lang w:val="en-US" w:eastAsia="zh-CN"/>
              </w:rPr>
              <w:t>等学科方向。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2257" w:type="dxa"/>
            <w:gridSpan w:val="4"/>
            <w:tcBorders>
              <w:right w:val="single" w:color="auto" w:sz="4" w:space="0"/>
            </w:tcBorders>
            <w:noWrap w:val="0"/>
            <w:vAlign w:val="center"/>
          </w:tcPr>
          <w:p>
            <w:pPr>
              <w:jc w:val="center"/>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行业企业兼职</w:t>
            </w:r>
          </w:p>
        </w:tc>
        <w:tc>
          <w:tcPr>
            <w:tcW w:w="7136" w:type="dxa"/>
            <w:gridSpan w:val="12"/>
            <w:tcBorders>
              <w:lef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420" w:lineRule="exact"/>
              <w:jc w:val="left"/>
              <w:textAlignment w:val="auto"/>
              <w:rPr>
                <w:rFonts w:hint="eastAsia" w:ascii="Times New Roman" w:hAnsi="Times New Roman" w:eastAsia="方正仿宋_GBK" w:cs="Times New Roman"/>
                <w:color w:val="auto"/>
                <w:sz w:val="24"/>
                <w:u w:val="none"/>
                <w:lang w:eastAsia="zh-CN"/>
              </w:rPr>
            </w:pPr>
            <w:r>
              <w:rPr>
                <w:rFonts w:hint="default" w:ascii="Times New Roman" w:hAnsi="Times New Roman" w:eastAsia="方正仿宋_GBK" w:cs="Times New Roman"/>
                <w:color w:val="auto"/>
                <w:sz w:val="24"/>
                <w:u w:val="none"/>
                <w:lang w:val="en" w:eastAsia="zh-CN"/>
              </w:rPr>
              <w:t>202</w:t>
            </w:r>
            <w:r>
              <w:rPr>
                <w:rFonts w:hint="eastAsia" w:ascii="Times New Roman" w:hAnsi="Times New Roman" w:eastAsia="方正仿宋_GBK" w:cs="Times New Roman"/>
                <w:color w:val="auto"/>
                <w:sz w:val="24"/>
                <w:u w:val="none"/>
                <w:lang w:val="en-US" w:eastAsia="zh-CN"/>
              </w:rPr>
              <w:t>1</w:t>
            </w:r>
            <w:r>
              <w:rPr>
                <w:rFonts w:hint="default" w:ascii="Times New Roman" w:hAnsi="Times New Roman" w:eastAsia="方正仿宋_GBK" w:cs="Times New Roman"/>
                <w:color w:val="auto"/>
                <w:sz w:val="24"/>
                <w:u w:val="none"/>
                <w:lang w:val="en" w:eastAsia="zh-CN"/>
              </w:rPr>
              <w:t>.0</w:t>
            </w:r>
            <w:r>
              <w:rPr>
                <w:rFonts w:hint="eastAsia" w:ascii="Times New Roman" w:hAnsi="Times New Roman" w:eastAsia="方正仿宋_GBK" w:cs="Times New Roman"/>
                <w:color w:val="auto"/>
                <w:sz w:val="24"/>
                <w:u w:val="none"/>
                <w:lang w:val="en-US" w:eastAsia="zh-CN"/>
              </w:rPr>
              <w:t>4</w:t>
            </w:r>
            <w:r>
              <w:rPr>
                <w:rFonts w:hint="default" w:ascii="Times New Roman" w:hAnsi="Times New Roman" w:eastAsia="方正仿宋_GBK" w:cs="Times New Roman"/>
                <w:color w:val="auto"/>
                <w:sz w:val="24"/>
                <w:u w:val="none"/>
                <w:lang w:val="en" w:eastAsia="zh-CN"/>
              </w:rPr>
              <w:t>-202</w:t>
            </w:r>
            <w:r>
              <w:rPr>
                <w:rFonts w:hint="eastAsia" w:ascii="Times New Roman" w:hAnsi="Times New Roman" w:eastAsia="方正仿宋_GBK" w:cs="Times New Roman"/>
                <w:color w:val="auto"/>
                <w:sz w:val="24"/>
                <w:u w:val="none"/>
                <w:lang w:val="en-US" w:eastAsia="zh-CN"/>
              </w:rPr>
              <w:t>4</w:t>
            </w:r>
            <w:r>
              <w:rPr>
                <w:rFonts w:hint="default" w:ascii="Times New Roman" w:hAnsi="Times New Roman" w:eastAsia="方正仿宋_GBK" w:cs="Times New Roman"/>
                <w:color w:val="auto"/>
                <w:sz w:val="24"/>
                <w:u w:val="none"/>
                <w:lang w:val="en" w:eastAsia="zh-CN"/>
              </w:rPr>
              <w:t>.0</w:t>
            </w:r>
            <w:r>
              <w:rPr>
                <w:rFonts w:hint="eastAsia" w:ascii="Times New Roman" w:hAnsi="Times New Roman" w:eastAsia="方正仿宋_GBK" w:cs="Times New Roman"/>
                <w:color w:val="auto"/>
                <w:sz w:val="24"/>
                <w:u w:val="none"/>
                <w:lang w:val="en-US" w:eastAsia="zh-CN"/>
              </w:rPr>
              <w:t xml:space="preserve">4 </w:t>
            </w:r>
            <w:r>
              <w:rPr>
                <w:rFonts w:hint="default" w:ascii="Times New Roman" w:hAnsi="Times New Roman" w:eastAsia="方正仿宋_GBK" w:cs="Times New Roman"/>
                <w:color w:val="auto"/>
                <w:sz w:val="24"/>
                <w:u w:val="none"/>
                <w:lang w:val="en" w:eastAsia="zh-CN"/>
              </w:rPr>
              <w:t>1+X跨境电商B2C数据运营职业技能等级证书项目考核委员会委员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1" w:hRule="atLeast"/>
          <w:jc w:val="center"/>
        </w:trPr>
        <w:tc>
          <w:tcPr>
            <w:tcW w:w="2257" w:type="dxa"/>
            <w:gridSpan w:val="4"/>
            <w:tcBorders>
              <w:right w:val="single" w:color="auto" w:sz="4" w:space="0"/>
            </w:tcBorders>
            <w:noWrap w:val="0"/>
            <w:vAlign w:val="center"/>
          </w:tcPr>
          <w:p>
            <w:pPr>
              <w:jc w:val="center"/>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工作简历</w:t>
            </w:r>
          </w:p>
        </w:tc>
        <w:tc>
          <w:tcPr>
            <w:tcW w:w="7136" w:type="dxa"/>
            <w:gridSpan w:val="12"/>
            <w:tcBorders>
              <w:left w:val="single" w:color="auto" w:sz="4" w:space="0"/>
            </w:tcBorders>
            <w:noWrap w:val="0"/>
            <w:vAlign w:val="center"/>
          </w:tcPr>
          <w:p>
            <w:pPr>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2017.05-至今 新疆应用职业技术学院经济管理学院教师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最具代表性的教学科研成果</w:t>
            </w: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序号</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成果名称</w:t>
            </w:r>
          </w:p>
        </w:tc>
        <w:tc>
          <w:tcPr>
            <w:tcW w:w="3484"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等级及签发单位、时间</w:t>
            </w:r>
          </w:p>
        </w:tc>
        <w:tc>
          <w:tcPr>
            <w:tcW w:w="1986" w:type="dxa"/>
            <w:gridSpan w:val="3"/>
            <w:tcBorders>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pacing w:val="-20"/>
                <w:sz w:val="24"/>
                <w:u w:val="none"/>
              </w:rPr>
            </w:pPr>
            <w:r>
              <w:rPr>
                <w:rFonts w:hint="default" w:ascii="Times New Roman" w:hAnsi="Times New Roman" w:eastAsia="方正仿宋_GBK" w:cs="Times New Roman"/>
                <w:color w:val="auto"/>
                <w:spacing w:val="-20"/>
                <w:w w:val="90"/>
                <w:sz w:val="24"/>
                <w:u w:val="none"/>
              </w:rPr>
              <w:t>本人署名位次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1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1</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eastAsia" w:ascii="Times New Roman" w:hAnsi="Times New Roman" w:eastAsia="方正仿宋_GBK" w:cs="Times New Roman"/>
                <w:color w:val="auto"/>
                <w:sz w:val="24"/>
                <w:u w:val="none"/>
              </w:rPr>
              <w:t>基于区域经济发展的高职电商人才培养模式研究</w:t>
            </w:r>
          </w:p>
        </w:tc>
        <w:tc>
          <w:tcPr>
            <w:tcW w:w="3484"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eastAsia" w:ascii="Times New Roman" w:hAnsi="Times New Roman" w:eastAsia="方正仿宋_GBK" w:cs="Times New Roman"/>
                <w:color w:val="auto"/>
                <w:sz w:val="24"/>
                <w:u w:val="none"/>
                <w:lang w:val="en-US" w:eastAsia="zh-CN"/>
              </w:rPr>
              <w:t>2022年</w:t>
            </w:r>
            <w:r>
              <w:rPr>
                <w:rFonts w:hint="eastAsia" w:ascii="Times New Roman" w:hAnsi="Times New Roman" w:eastAsia="方正仿宋_GBK" w:cs="Times New Roman"/>
                <w:color w:val="auto"/>
                <w:sz w:val="24"/>
                <w:u w:val="none"/>
              </w:rPr>
              <w:t>科教导刊</w:t>
            </w:r>
          </w:p>
        </w:tc>
        <w:tc>
          <w:tcPr>
            <w:tcW w:w="19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val="en-US" w:eastAsia="zh-CN"/>
              </w:rPr>
            </w:pPr>
            <w:r>
              <w:rPr>
                <w:rFonts w:hint="eastAsia" w:ascii="Times New Roman" w:hAnsi="Times New Roman" w:eastAsia="方正仿宋_GBK" w:cs="Times New Roman"/>
                <w:color w:val="auto"/>
                <w:sz w:val="24"/>
                <w:u w:val="none"/>
                <w:lang w:val="en-US" w:eastAsia="zh-CN"/>
              </w:rPr>
              <w:t>第一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6"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2</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eastAsia" w:ascii="Times New Roman" w:hAnsi="Times New Roman" w:eastAsia="方正仿宋_GBK" w:cs="Times New Roman"/>
                <w:color w:val="auto"/>
                <w:sz w:val="24"/>
                <w:u w:val="none"/>
              </w:rPr>
              <w:t>新零售视角下社区电商消费者忠诚度提升研究</w:t>
            </w:r>
          </w:p>
        </w:tc>
        <w:tc>
          <w:tcPr>
            <w:tcW w:w="3484"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lang w:val="en-US" w:eastAsia="zh-CN"/>
              </w:rPr>
            </w:pPr>
            <w:r>
              <w:rPr>
                <w:rFonts w:hint="eastAsia" w:ascii="Times New Roman" w:hAnsi="Times New Roman" w:eastAsia="方正仿宋_GBK" w:cs="Times New Roman"/>
                <w:color w:val="auto"/>
                <w:sz w:val="24"/>
                <w:u w:val="none"/>
                <w:lang w:val="en-US" w:eastAsia="zh-CN"/>
              </w:rPr>
              <w:t>2023年</w:t>
            </w:r>
            <w:r>
              <w:rPr>
                <w:rFonts w:hint="eastAsia" w:ascii="Times New Roman" w:hAnsi="Times New Roman" w:eastAsia="方正仿宋_GBK" w:cs="Times New Roman"/>
                <w:color w:val="auto"/>
                <w:sz w:val="24"/>
                <w:u w:val="none"/>
              </w:rPr>
              <w:fldChar w:fldCharType="begin"/>
            </w:r>
            <w:r>
              <w:rPr>
                <w:rFonts w:hint="eastAsia" w:ascii="Times New Roman" w:hAnsi="Times New Roman" w:eastAsia="方正仿宋_GBK" w:cs="Times New Roman"/>
                <w:color w:val="auto"/>
                <w:sz w:val="24"/>
                <w:u w:val="none"/>
              </w:rPr>
              <w:instrText xml:space="preserve"> HYPERLINK "https://kns.cnki.net/knavi/journals/SZTJ/detail?uniplatform=NZKPT" \t "https://kns.cnki.net/kns8s/_blank" </w:instrText>
            </w:r>
            <w:r>
              <w:rPr>
                <w:rFonts w:hint="eastAsia" w:ascii="Times New Roman" w:hAnsi="Times New Roman" w:eastAsia="方正仿宋_GBK" w:cs="Times New Roman"/>
                <w:color w:val="auto"/>
                <w:sz w:val="24"/>
                <w:u w:val="none"/>
              </w:rPr>
              <w:fldChar w:fldCharType="separate"/>
            </w:r>
            <w:r>
              <w:rPr>
                <w:rFonts w:hint="eastAsia" w:ascii="Times New Roman" w:hAnsi="Times New Roman" w:eastAsia="方正仿宋_GBK" w:cs="Times New Roman"/>
                <w:color w:val="auto"/>
                <w:sz w:val="24"/>
                <w:u w:val="none"/>
              </w:rPr>
              <w:t>数字通信世界</w:t>
            </w:r>
            <w:r>
              <w:rPr>
                <w:rFonts w:hint="eastAsia" w:ascii="Times New Roman" w:hAnsi="Times New Roman" w:eastAsia="方正仿宋_GBK" w:cs="Times New Roman"/>
                <w:color w:val="auto"/>
                <w:sz w:val="24"/>
                <w:u w:val="none"/>
              </w:rPr>
              <w:fldChar w:fldCharType="end"/>
            </w:r>
          </w:p>
        </w:tc>
        <w:tc>
          <w:tcPr>
            <w:tcW w:w="19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Times New Roman" w:hAnsi="Times New Roman" w:eastAsia="方正仿宋_GBK" w:cs="Times New Roman"/>
                <w:color w:val="auto"/>
                <w:sz w:val="24"/>
                <w:u w:val="none"/>
                <w:lang w:val="en-US" w:eastAsia="zh-CN"/>
              </w:rPr>
            </w:pPr>
            <w:r>
              <w:rPr>
                <w:rFonts w:hint="eastAsia" w:ascii="Times New Roman" w:hAnsi="Times New Roman" w:eastAsia="方正仿宋_GBK" w:cs="Times New Roman"/>
                <w:color w:val="auto"/>
                <w:sz w:val="24"/>
                <w:u w:val="none"/>
                <w:lang w:val="en-US" w:eastAsia="zh-CN"/>
              </w:rPr>
              <w:t>第一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c>
          <w:tcPr>
            <w:tcW w:w="3484" w:type="dxa"/>
            <w:gridSpan w:val="7"/>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c>
          <w:tcPr>
            <w:tcW w:w="1986"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restar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目前承担的主要教学工作</w:t>
            </w:r>
          </w:p>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（5项以内）</w:t>
            </w: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序号</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课程名称</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授课对象</w:t>
            </w: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人数</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学时</w:t>
            </w: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课程性质</w:t>
            </w: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w w:val="90"/>
                <w:sz w:val="24"/>
                <w:u w:val="none"/>
              </w:rPr>
            </w:pPr>
            <w:r>
              <w:rPr>
                <w:rFonts w:hint="default" w:ascii="Times New Roman" w:hAnsi="Times New Roman" w:eastAsia="方正仿宋_GBK" w:cs="Times New Roman"/>
                <w:color w:val="auto"/>
                <w:w w:val="90"/>
                <w:sz w:val="24"/>
                <w:u w:val="none"/>
              </w:rPr>
              <w:t>授课时间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1</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r>
              <w:rPr>
                <w:rFonts w:hint="eastAsia" w:ascii="Times New Roman" w:hAnsi="Times New Roman" w:eastAsia="方正仿宋_GBK" w:cs="Times New Roman"/>
                <w:color w:val="auto"/>
                <w:sz w:val="24"/>
                <w:u w:val="none"/>
                <w:lang w:val="en-US" w:eastAsia="zh-CN"/>
              </w:rPr>
              <w:t>电商视觉营销设计</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高职</w:t>
            </w: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300</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360</w:t>
            </w: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核心课</w:t>
            </w: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2019-2023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2</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ascii="Times New Roman" w:hAnsi="Times New Roman" w:eastAsia="方正仿宋_GBK" w:cs="Times New Roman"/>
                <w:color w:val="auto"/>
                <w:sz w:val="24"/>
                <w:u w:val="none"/>
                <w:lang w:val="en-US" w:eastAsia="zh-CN"/>
              </w:rPr>
              <w:t>国际货运代理实务</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高职</w:t>
            </w: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300</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300</w:t>
            </w: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核心课</w:t>
            </w: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2019-2023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3</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ascii="Times New Roman" w:hAnsi="Times New Roman" w:eastAsia="方正仿宋_GBK" w:cs="Times New Roman"/>
                <w:color w:val="auto"/>
                <w:sz w:val="24"/>
                <w:u w:val="none"/>
                <w:lang w:val="en-US" w:eastAsia="zh-CN"/>
              </w:rPr>
              <w:t>跨境电商</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高职</w:t>
            </w: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300</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300</w:t>
            </w: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核心课</w:t>
            </w: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2019-2023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r>
              <w:rPr>
                <w:rFonts w:hint="default" w:ascii="Times New Roman" w:hAnsi="Times New Roman" w:eastAsia="方正仿宋_GBK" w:cs="Times New Roman"/>
                <w:color w:val="auto"/>
                <w:sz w:val="24"/>
                <w:u w:val="none"/>
              </w:rPr>
              <w:t>4</w:t>
            </w: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移动商务基础</w:t>
            </w: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kern w:val="2"/>
                <w:sz w:val="24"/>
                <w:szCs w:val="24"/>
                <w:u w:val="none"/>
                <w:lang w:val="en-US" w:eastAsia="zh-CN" w:bidi="ar-SA"/>
              </w:rPr>
            </w:pPr>
            <w:r>
              <w:rPr>
                <w:rFonts w:hint="eastAsia" w:eastAsia="方正仿宋_GBK" w:cs="Times New Roman"/>
                <w:color w:val="auto"/>
                <w:sz w:val="24"/>
                <w:u w:val="none"/>
                <w:lang w:val="en-US" w:eastAsia="zh-CN"/>
              </w:rPr>
              <w:t>高职</w:t>
            </w: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kern w:val="2"/>
                <w:sz w:val="24"/>
                <w:szCs w:val="24"/>
                <w:u w:val="none"/>
                <w:lang w:val="en-US" w:eastAsia="zh-CN" w:bidi="ar-SA"/>
              </w:rPr>
            </w:pPr>
            <w:r>
              <w:rPr>
                <w:rFonts w:hint="eastAsia" w:eastAsia="方正仿宋_GBK" w:cs="Times New Roman"/>
                <w:color w:val="auto"/>
                <w:sz w:val="24"/>
                <w:u w:val="none"/>
                <w:lang w:val="en-US" w:eastAsia="zh-CN"/>
              </w:rPr>
              <w:t>300</w:t>
            </w: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kern w:val="2"/>
                <w:sz w:val="24"/>
                <w:szCs w:val="24"/>
                <w:u w:val="none"/>
                <w:lang w:val="en-US" w:eastAsia="zh-CN" w:bidi="ar-SA"/>
              </w:rPr>
            </w:pPr>
            <w:r>
              <w:rPr>
                <w:rFonts w:hint="eastAsia" w:eastAsia="方正仿宋_GBK" w:cs="Times New Roman"/>
                <w:color w:val="auto"/>
                <w:sz w:val="24"/>
                <w:u w:val="none"/>
                <w:lang w:val="en-US" w:eastAsia="zh-CN"/>
              </w:rPr>
              <w:t>200</w:t>
            </w: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方正仿宋_GBK" w:cs="Times New Roman"/>
                <w:color w:val="auto"/>
                <w:sz w:val="24"/>
                <w:u w:val="none"/>
                <w:lang w:val="en-US" w:eastAsia="zh-CN"/>
              </w:rPr>
            </w:pPr>
            <w:r>
              <w:rPr>
                <w:rFonts w:hint="eastAsia" w:eastAsia="方正仿宋_GBK" w:cs="Times New Roman"/>
                <w:color w:val="auto"/>
                <w:sz w:val="24"/>
                <w:u w:val="none"/>
                <w:lang w:val="en-US" w:eastAsia="zh-CN"/>
              </w:rPr>
              <w:t>基础课</w:t>
            </w: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r>
              <w:rPr>
                <w:rFonts w:hint="eastAsia" w:eastAsia="方正仿宋_GBK" w:cs="Times New Roman"/>
                <w:color w:val="auto"/>
                <w:sz w:val="24"/>
                <w:u w:val="none"/>
                <w:lang w:val="en-US" w:eastAsia="zh-CN"/>
              </w:rPr>
              <w:t>2019-2023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026" w:type="dxa"/>
            <w:gridSpan w:val="2"/>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方正仿宋_GBK" w:cs="Times New Roman"/>
                <w:color w:val="auto"/>
                <w:sz w:val="24"/>
                <w:u w:val="none"/>
              </w:rPr>
            </w:pPr>
          </w:p>
        </w:tc>
        <w:tc>
          <w:tcPr>
            <w:tcW w:w="663"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ind w:left="-105" w:leftChars="-50" w:right="-105" w:rightChars="-50"/>
              <w:jc w:val="center"/>
              <w:textAlignment w:val="auto"/>
              <w:rPr>
                <w:rFonts w:hint="default" w:ascii="Times New Roman" w:hAnsi="Times New Roman" w:eastAsia="方正仿宋_GBK" w:cs="Times New Roman"/>
                <w:color w:val="auto"/>
                <w:sz w:val="24"/>
                <w:u w:val="none"/>
              </w:rPr>
            </w:pPr>
          </w:p>
        </w:tc>
        <w:tc>
          <w:tcPr>
            <w:tcW w:w="22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lang w:val="en-US" w:eastAsia="zh-CN"/>
              </w:rPr>
            </w:pPr>
          </w:p>
        </w:tc>
        <w:tc>
          <w:tcPr>
            <w:tcW w:w="1134"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ascii="Times New Roman" w:hAnsi="Times New Roman" w:eastAsia="方正仿宋_GBK" w:cs="Times New Roman"/>
                <w:color w:val="auto"/>
                <w:sz w:val="24"/>
                <w:u w:val="none"/>
                <w:lang w:val="en-US" w:eastAsia="zh-CN"/>
              </w:rPr>
            </w:pPr>
          </w:p>
        </w:tc>
        <w:tc>
          <w:tcPr>
            <w:tcW w:w="6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c>
          <w:tcPr>
            <w:tcW w:w="869" w:type="dxa"/>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c>
          <w:tcPr>
            <w:tcW w:w="1134" w:type="dxa"/>
            <w:gridSpan w:val="3"/>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c>
          <w:tcPr>
            <w:tcW w:w="1643"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default" w:ascii="Times New Roman" w:hAnsi="Times New Roman" w:eastAsia="方正仿宋_GBK" w:cs="Times New Roman"/>
                <w:color w:val="auto"/>
                <w:sz w:val="24"/>
                <w:u w:val="none"/>
              </w:rPr>
            </w:pPr>
          </w:p>
        </w:tc>
      </w:tr>
    </w:tbl>
    <w:p>
      <w:pPr>
        <w:ind w:firstLine="241" w:firstLineChars="100"/>
        <w:rPr>
          <w:rFonts w:hint="eastAsia" w:ascii="方正仿宋_GBK" w:hAnsi="方正仿宋_GBK" w:eastAsia="方正仿宋_GBK" w:cs="方正仿宋_GBK"/>
          <w:color w:val="auto"/>
          <w:sz w:val="24"/>
          <w:u w:val="none"/>
        </w:rPr>
      </w:pPr>
      <w:r>
        <w:rPr>
          <w:rFonts w:hint="eastAsia" w:ascii="方正仿宋_GBK" w:hAnsi="方正仿宋_GBK" w:eastAsia="方正仿宋_GBK" w:cs="方正仿宋_GBK"/>
          <w:b/>
          <w:color w:val="auto"/>
          <w:sz w:val="24"/>
          <w:u w:val="none"/>
        </w:rPr>
        <w:t>注：</w:t>
      </w:r>
      <w:r>
        <w:rPr>
          <w:rFonts w:hint="eastAsia" w:ascii="方正仿宋_GBK" w:hAnsi="方正仿宋_GBK" w:eastAsia="方正仿宋_GBK" w:cs="方正仿宋_GBK"/>
          <w:color w:val="auto"/>
          <w:sz w:val="24"/>
          <w:u w:val="none"/>
        </w:rPr>
        <w:t>填写一至三人，只填本专业主要带头人，每人一表。</w:t>
      </w:r>
    </w:p>
    <w:p>
      <w:pPr>
        <w:ind w:firstLine="240" w:firstLineChars="100"/>
        <w:rPr>
          <w:rFonts w:hint="eastAsia" w:ascii="方正仿宋_GBK" w:hAnsi="方正仿宋_GBK" w:eastAsia="方正仿宋_GBK" w:cs="方正仿宋_GBK"/>
          <w:color w:val="auto"/>
          <w:sz w:val="24"/>
          <w:u w:val="none"/>
        </w:rPr>
        <w:sectPr>
          <w:pgSz w:w="11906" w:h="16838"/>
          <w:pgMar w:top="2098" w:right="1417" w:bottom="2098" w:left="1531" w:header="720" w:footer="720" w:gutter="0"/>
          <w:cols w:space="720" w:num="1"/>
          <w:rtlGutter w:val="0"/>
          <w:docGrid w:type="lines" w:linePitch="312" w:charSpace="0"/>
        </w:sectPr>
      </w:pPr>
    </w:p>
    <w:p>
      <w:pPr>
        <w:spacing w:line="580" w:lineRule="exact"/>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教师基本情况表</w:t>
      </w:r>
    </w:p>
    <w:tbl>
      <w:tblPr>
        <w:tblStyle w:val="12"/>
        <w:tblW w:w="89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05"/>
        <w:gridCol w:w="1056"/>
        <w:gridCol w:w="417"/>
        <w:gridCol w:w="433"/>
        <w:gridCol w:w="828"/>
        <w:gridCol w:w="1796"/>
        <w:gridCol w:w="996"/>
        <w:gridCol w:w="1543"/>
        <w:gridCol w:w="635"/>
        <w:gridCol w:w="73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8" w:hRule="exact"/>
          <w:jc w:val="center"/>
        </w:trPr>
        <w:tc>
          <w:tcPr>
            <w:tcW w:w="5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5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姓名</w:t>
            </w:r>
          </w:p>
        </w:tc>
        <w:tc>
          <w:tcPr>
            <w:tcW w:w="417"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性别</w:t>
            </w:r>
          </w:p>
        </w:tc>
        <w:tc>
          <w:tcPr>
            <w:tcW w:w="43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年龄</w:t>
            </w:r>
          </w:p>
        </w:tc>
        <w:tc>
          <w:tcPr>
            <w:tcW w:w="828"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专业技</w:t>
            </w:r>
          </w:p>
          <w:p>
            <w:pPr>
              <w:jc w:val="center"/>
              <w:rPr>
                <w:rFonts w:hint="eastAsia" w:ascii="宋体" w:hAnsi="宋体" w:eastAsia="宋体" w:cs="宋体"/>
                <w:sz w:val="21"/>
                <w:szCs w:val="21"/>
              </w:rPr>
            </w:pPr>
            <w:r>
              <w:rPr>
                <w:rFonts w:hint="eastAsia" w:ascii="宋体" w:hAnsi="宋体" w:eastAsia="宋体" w:cs="宋体"/>
                <w:sz w:val="21"/>
                <w:szCs w:val="21"/>
              </w:rPr>
              <w:t>术职务</w:t>
            </w:r>
          </w:p>
        </w:tc>
        <w:tc>
          <w:tcPr>
            <w:tcW w:w="179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最后学历毕业学校</w:t>
            </w:r>
          </w:p>
          <w:p>
            <w:pPr>
              <w:jc w:val="center"/>
              <w:rPr>
                <w:rFonts w:hint="eastAsia" w:ascii="宋体" w:hAnsi="宋体" w:eastAsia="宋体" w:cs="宋体"/>
                <w:sz w:val="21"/>
                <w:szCs w:val="21"/>
              </w:rPr>
            </w:pPr>
            <w:r>
              <w:rPr>
                <w:rFonts w:hint="eastAsia" w:ascii="宋体" w:hAnsi="宋体" w:eastAsia="宋体" w:cs="宋体"/>
                <w:sz w:val="21"/>
                <w:szCs w:val="21"/>
              </w:rPr>
              <w:t>专业、学位</w:t>
            </w:r>
          </w:p>
        </w:tc>
        <w:tc>
          <w:tcPr>
            <w:tcW w:w="99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现从事</w:t>
            </w:r>
          </w:p>
          <w:p>
            <w:pPr>
              <w:jc w:val="center"/>
              <w:rPr>
                <w:rFonts w:hint="eastAsia" w:ascii="宋体" w:hAnsi="宋体" w:eastAsia="宋体" w:cs="宋体"/>
                <w:sz w:val="21"/>
                <w:szCs w:val="21"/>
              </w:rPr>
            </w:pPr>
            <w:r>
              <w:rPr>
                <w:rFonts w:hint="eastAsia" w:ascii="宋体" w:hAnsi="宋体" w:eastAsia="宋体" w:cs="宋体"/>
                <w:sz w:val="21"/>
                <w:szCs w:val="21"/>
              </w:rPr>
              <w:t>专业</w:t>
            </w:r>
          </w:p>
        </w:tc>
        <w:tc>
          <w:tcPr>
            <w:tcW w:w="154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拟任课程</w:t>
            </w:r>
          </w:p>
        </w:tc>
        <w:tc>
          <w:tcPr>
            <w:tcW w:w="635" w:type="dxa"/>
            <w:tcBorders>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是否“双</w:t>
            </w:r>
          </w:p>
          <w:p>
            <w:pPr>
              <w:jc w:val="center"/>
              <w:rPr>
                <w:rFonts w:hint="eastAsia" w:ascii="宋体" w:hAnsi="宋体" w:eastAsia="宋体" w:cs="宋体"/>
                <w:sz w:val="21"/>
                <w:szCs w:val="21"/>
              </w:rPr>
            </w:pPr>
            <w:r>
              <w:rPr>
                <w:rFonts w:hint="eastAsia" w:ascii="宋体" w:hAnsi="宋体" w:eastAsia="宋体" w:cs="宋体"/>
                <w:sz w:val="21"/>
                <w:szCs w:val="21"/>
              </w:rPr>
              <w:t>师型”</w:t>
            </w:r>
          </w:p>
        </w:tc>
        <w:tc>
          <w:tcPr>
            <w:tcW w:w="730" w:type="dxa"/>
            <w:tcBorders>
              <w:lef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专职</w:t>
            </w:r>
          </w:p>
          <w:p>
            <w:pPr>
              <w:jc w:val="center"/>
              <w:rPr>
                <w:rFonts w:hint="eastAsia" w:ascii="宋体" w:hAnsi="宋体" w:eastAsia="宋体" w:cs="宋体"/>
                <w:sz w:val="21"/>
                <w:szCs w:val="21"/>
              </w:rPr>
            </w:pPr>
            <w:r>
              <w:rPr>
                <w:rFonts w:hint="eastAsia" w:ascii="宋体" w:hAnsi="宋体" w:eastAsia="宋体" w:cs="宋体"/>
                <w:sz w:val="21"/>
                <w:szCs w:val="21"/>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01" w:hRule="exact"/>
          <w:jc w:val="center"/>
        </w:trPr>
        <w:tc>
          <w:tcPr>
            <w:tcW w:w="505"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05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肖复兴</w:t>
            </w:r>
          </w:p>
        </w:tc>
        <w:tc>
          <w:tcPr>
            <w:tcW w:w="417"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男</w:t>
            </w:r>
          </w:p>
        </w:tc>
        <w:tc>
          <w:tcPr>
            <w:tcW w:w="43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44</w:t>
            </w:r>
          </w:p>
        </w:tc>
        <w:tc>
          <w:tcPr>
            <w:tcW w:w="828"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副教授</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新疆财经大学</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工商管理、硕士研究生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w:t>
            </w:r>
            <w:r>
              <w:rPr>
                <w:rFonts w:hint="eastAsia" w:ascii="宋体" w:hAnsi="宋体" w:eastAsia="宋体" w:cs="宋体"/>
                <w:sz w:val="21"/>
                <w:szCs w:val="21"/>
                <w:lang w:eastAsia="zh-CN"/>
              </w:rPr>
              <w:t>管理</w:t>
            </w:r>
          </w:p>
        </w:tc>
        <w:tc>
          <w:tcPr>
            <w:tcW w:w="1543"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管理学基础</w:t>
            </w:r>
          </w:p>
          <w:p>
            <w:pPr>
              <w:jc w:val="center"/>
              <w:rPr>
                <w:rFonts w:hint="eastAsia" w:ascii="宋体" w:hAnsi="宋体" w:eastAsia="宋体" w:cs="宋体"/>
                <w:sz w:val="21"/>
                <w:szCs w:val="21"/>
              </w:rPr>
            </w:pPr>
            <w:r>
              <w:rPr>
                <w:rFonts w:hint="eastAsia" w:ascii="宋体" w:hAnsi="宋体" w:eastAsia="宋体" w:cs="宋体"/>
                <w:sz w:val="21"/>
                <w:szCs w:val="21"/>
              </w:rPr>
              <w:t>跨境电商法律法规</w:t>
            </w:r>
          </w:p>
        </w:tc>
        <w:tc>
          <w:tcPr>
            <w:tcW w:w="635" w:type="dxa"/>
            <w:tcBorders>
              <w:right w:val="single" w:color="auto" w:sz="4" w:space="0"/>
            </w:tcBorders>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是</w:t>
            </w:r>
          </w:p>
        </w:tc>
        <w:tc>
          <w:tcPr>
            <w:tcW w:w="730" w:type="dxa"/>
            <w:tcBorders>
              <w:lef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李娜</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35</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石河子大学</w:t>
            </w:r>
          </w:p>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工商管理</w:t>
            </w:r>
            <w:r>
              <w:rPr>
                <w:rFonts w:hint="eastAsia" w:ascii="宋体" w:hAnsi="宋体" w:eastAsia="宋体" w:cs="宋体"/>
                <w:sz w:val="21"/>
                <w:szCs w:val="21"/>
                <w:lang w:val="en-US" w:eastAsia="zh-CN"/>
              </w:rPr>
              <w:t>、硕士研究生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w:t>
            </w:r>
            <w:r>
              <w:rPr>
                <w:rFonts w:hint="eastAsia" w:ascii="宋体" w:hAnsi="宋体" w:eastAsia="宋体" w:cs="宋体"/>
                <w:sz w:val="21"/>
                <w:szCs w:val="21"/>
                <w:lang w:val="zh-CN" w:eastAsia="zh-CN"/>
              </w:rPr>
              <w:t>商务</w:t>
            </w:r>
          </w:p>
        </w:tc>
        <w:tc>
          <w:tcPr>
            <w:tcW w:w="1543"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跨境电商基础</w:t>
            </w:r>
            <w:r>
              <w:rPr>
                <w:rFonts w:hint="eastAsia" w:ascii="宋体" w:hAnsi="宋体" w:eastAsia="宋体" w:cs="宋体"/>
                <w:sz w:val="21"/>
                <w:szCs w:val="21"/>
                <w:lang w:eastAsia="zh-CN"/>
              </w:rPr>
              <w:t>、</w:t>
            </w:r>
            <w:r>
              <w:rPr>
                <w:rFonts w:hint="eastAsia" w:ascii="宋体" w:hAnsi="宋体" w:eastAsia="宋体" w:cs="宋体"/>
                <w:sz w:val="21"/>
                <w:szCs w:val="21"/>
              </w:rPr>
              <w:t>新媒体视觉设计</w:t>
            </w:r>
          </w:p>
          <w:p>
            <w:pPr>
              <w:jc w:val="center"/>
              <w:rPr>
                <w:rFonts w:hint="eastAsia" w:ascii="宋体" w:hAnsi="宋体" w:eastAsia="宋体" w:cs="宋体"/>
                <w:sz w:val="21"/>
                <w:szCs w:val="21"/>
                <w:lang w:val="en-US" w:eastAsia="zh-CN"/>
              </w:rPr>
            </w:pP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是</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3</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李泽红</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29</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山西大学商务学院电子商务</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本科</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移动商务</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电商图像处理技术</w:t>
            </w:r>
            <w:r>
              <w:rPr>
                <w:rFonts w:hint="eastAsia" w:ascii="宋体" w:hAnsi="宋体" w:eastAsia="宋体" w:cs="宋体"/>
                <w:sz w:val="21"/>
                <w:szCs w:val="21"/>
                <w:lang w:eastAsia="zh-CN"/>
              </w:rPr>
              <w:t>、</w:t>
            </w:r>
            <w:r>
              <w:rPr>
                <w:rFonts w:hint="eastAsia" w:ascii="宋体" w:hAnsi="宋体" w:eastAsia="宋体" w:cs="宋体"/>
                <w:sz w:val="21"/>
                <w:szCs w:val="21"/>
              </w:rPr>
              <w:t>新媒体营销</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1"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4</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潘霞</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昌吉学院</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电子商务、本科</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移动商务</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跨境电商B2C</w:t>
            </w:r>
            <w:r>
              <w:rPr>
                <w:rFonts w:hint="eastAsia" w:ascii="宋体" w:hAnsi="宋体" w:eastAsia="宋体" w:cs="宋体"/>
                <w:sz w:val="21"/>
                <w:szCs w:val="21"/>
                <w:lang w:eastAsia="zh-CN"/>
              </w:rPr>
              <w:t>、</w:t>
            </w:r>
            <w:r>
              <w:rPr>
                <w:rFonts w:hint="eastAsia" w:ascii="宋体" w:hAnsi="宋体" w:eastAsia="宋体" w:cs="宋体"/>
                <w:sz w:val="21"/>
                <w:szCs w:val="21"/>
              </w:rPr>
              <w:t>直播营销</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0"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5</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潘佳</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西北民族大学、经济学、本科</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移动商务</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经济学基础</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基础会计</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2"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6</w:t>
            </w:r>
          </w:p>
        </w:tc>
        <w:tc>
          <w:tcPr>
            <w:tcW w:w="105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郭玉静</w:t>
            </w:r>
          </w:p>
        </w:tc>
        <w:tc>
          <w:tcPr>
            <w:tcW w:w="417"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rPr>
            </w:pPr>
            <w:r>
              <w:rPr>
                <w:rFonts w:hint="eastAsia" w:ascii="宋体" w:hAnsi="宋体" w:eastAsia="宋体" w:cs="宋体"/>
                <w:sz w:val="21"/>
                <w:szCs w:val="21"/>
                <w:lang w:val="en-US" w:eastAsia="zh-CN"/>
              </w:rPr>
              <w:t>36</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中国海洋大学</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物流工程、硕士研究生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物流管理</w:t>
            </w:r>
          </w:p>
        </w:tc>
        <w:tc>
          <w:tcPr>
            <w:tcW w:w="1543"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国际商务文化与礼仪</w:t>
            </w:r>
            <w:r>
              <w:rPr>
                <w:rFonts w:hint="eastAsia" w:ascii="宋体" w:hAnsi="宋体" w:eastAsia="宋体" w:cs="宋体"/>
                <w:sz w:val="21"/>
                <w:szCs w:val="21"/>
                <w:lang w:eastAsia="zh-CN"/>
              </w:rPr>
              <w:t>、</w:t>
            </w:r>
            <w:r>
              <w:rPr>
                <w:rFonts w:hint="eastAsia" w:ascii="宋体" w:hAnsi="宋体" w:eastAsia="宋体" w:cs="宋体"/>
                <w:sz w:val="21"/>
                <w:szCs w:val="21"/>
              </w:rPr>
              <w:t>文案策划与撰写</w:t>
            </w:r>
          </w:p>
        </w:tc>
        <w:tc>
          <w:tcPr>
            <w:tcW w:w="635" w:type="dxa"/>
            <w:tcBorders>
              <w:righ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5"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7</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方欣怡</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41</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北京信息科技大学</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工商管理、硕士研究生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物流管理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外贸单证</w:t>
            </w:r>
            <w:r>
              <w:rPr>
                <w:rFonts w:hint="eastAsia" w:ascii="宋体" w:hAnsi="宋体" w:eastAsia="宋体" w:cs="宋体"/>
                <w:sz w:val="21"/>
                <w:szCs w:val="21"/>
                <w:lang w:eastAsia="zh-CN"/>
              </w:rPr>
              <w:t>、</w:t>
            </w:r>
            <w:r>
              <w:rPr>
                <w:rFonts w:hint="eastAsia" w:ascii="宋体" w:hAnsi="宋体" w:eastAsia="宋体" w:cs="宋体"/>
                <w:sz w:val="21"/>
                <w:szCs w:val="21"/>
              </w:rPr>
              <w:t>外贸函电</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2"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8</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谭丽萍</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32</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辽宁中医药大学</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物流管理、</w:t>
            </w:r>
            <w:r>
              <w:rPr>
                <w:rFonts w:hint="eastAsia" w:ascii="宋体" w:hAnsi="宋体" w:eastAsia="宋体" w:cs="宋体"/>
                <w:sz w:val="21"/>
                <w:szCs w:val="21"/>
                <w:lang w:val="en-US" w:eastAsia="zh-CN"/>
              </w:rPr>
              <w:t>本科</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zh-CN" w:eastAsia="zh-CN"/>
              </w:rPr>
              <w:t>物流管理</w:t>
            </w:r>
          </w:p>
        </w:tc>
        <w:tc>
          <w:tcPr>
            <w:tcW w:w="1543"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rPr>
              <w:t>跨境电子商务物流</w:t>
            </w:r>
            <w:r>
              <w:rPr>
                <w:rFonts w:hint="eastAsia" w:ascii="宋体" w:hAnsi="宋体" w:eastAsia="宋体" w:cs="宋体"/>
                <w:sz w:val="21"/>
                <w:szCs w:val="21"/>
                <w:lang w:eastAsia="zh-CN"/>
              </w:rPr>
              <w:t>、</w:t>
            </w:r>
            <w:r>
              <w:rPr>
                <w:rFonts w:hint="eastAsia" w:ascii="宋体" w:hAnsi="宋体" w:eastAsia="宋体" w:cs="宋体"/>
                <w:sz w:val="21"/>
                <w:szCs w:val="21"/>
              </w:rPr>
              <w:t>国际货运代理</w:t>
            </w:r>
          </w:p>
          <w:p>
            <w:pPr>
              <w:jc w:val="center"/>
              <w:rPr>
                <w:rFonts w:hint="eastAsia" w:ascii="宋体" w:hAnsi="宋体" w:eastAsia="宋体" w:cs="宋体"/>
                <w:sz w:val="21"/>
                <w:szCs w:val="21"/>
                <w:lang w:val="en-US" w:eastAsia="zh-CN"/>
              </w:rPr>
            </w:pP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9</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王孟孟</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天津职业技术师范大学</w:t>
            </w:r>
            <w:r>
              <w:rPr>
                <w:rFonts w:hint="eastAsia" w:ascii="宋体" w:hAnsi="宋体" w:eastAsia="宋体" w:cs="宋体"/>
                <w:sz w:val="21"/>
                <w:szCs w:val="21"/>
                <w:lang w:val="en-US" w:eastAsia="zh-CN"/>
              </w:rPr>
              <w:t>物流管理本科</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物流管理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国际贸易实务</w:t>
            </w:r>
            <w:r>
              <w:rPr>
                <w:rFonts w:hint="eastAsia" w:ascii="宋体" w:hAnsi="宋体" w:eastAsia="宋体" w:cs="宋体"/>
                <w:sz w:val="21"/>
                <w:szCs w:val="21"/>
                <w:lang w:eastAsia="zh-CN"/>
              </w:rPr>
              <w:t>、</w:t>
            </w:r>
            <w:r>
              <w:rPr>
                <w:rFonts w:hint="eastAsia" w:ascii="宋体" w:hAnsi="宋体" w:eastAsia="宋体" w:cs="宋体"/>
                <w:i w:val="0"/>
                <w:iCs w:val="0"/>
                <w:color w:val="000000"/>
                <w:kern w:val="0"/>
                <w:sz w:val="21"/>
                <w:szCs w:val="21"/>
                <w:u w:val="none"/>
                <w:lang w:val="en-US" w:eastAsia="zh-CN" w:bidi="ar"/>
              </w:rPr>
              <w:t>智能客户服务与管理</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exact"/>
          <w:jc w:val="center"/>
        </w:trPr>
        <w:tc>
          <w:tcPr>
            <w:tcW w:w="505" w:type="dxa"/>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10</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肖琦</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30</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新疆财经大学统计学、硕士研究生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物流管理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Python数据处理</w:t>
            </w:r>
            <w:r>
              <w:rPr>
                <w:rFonts w:hint="eastAsia" w:ascii="宋体" w:hAnsi="宋体" w:eastAsia="宋体" w:cs="宋体"/>
                <w:sz w:val="21"/>
                <w:szCs w:val="21"/>
                <w:lang w:eastAsia="zh-CN"/>
              </w:rPr>
              <w:t>、</w:t>
            </w:r>
            <w:r>
              <w:rPr>
                <w:rFonts w:hint="eastAsia" w:ascii="宋体" w:hAnsi="宋体" w:eastAsia="宋体" w:cs="宋体"/>
                <w:sz w:val="21"/>
                <w:szCs w:val="21"/>
              </w:rPr>
              <w:t>跨境电子商务数据分析</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95" w:hRule="exact"/>
          <w:jc w:val="center"/>
        </w:trPr>
        <w:tc>
          <w:tcPr>
            <w:tcW w:w="505" w:type="dxa"/>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11</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王菲</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中国计量大学国际商务专业、硕士研究生</w:t>
            </w:r>
          </w:p>
        </w:tc>
        <w:tc>
          <w:tcPr>
            <w:tcW w:w="996"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移动商务</w:t>
            </w:r>
          </w:p>
        </w:tc>
        <w:tc>
          <w:tcPr>
            <w:tcW w:w="1543" w:type="dxa"/>
            <w:noWrap w:val="0"/>
            <w:vAlign w:val="center"/>
          </w:tcPr>
          <w:p>
            <w:pPr>
              <w:jc w:val="both"/>
              <w:rPr>
                <w:rFonts w:hint="eastAsia" w:ascii="宋体" w:hAnsi="宋体" w:eastAsia="宋体" w:cs="宋体"/>
                <w:sz w:val="21"/>
                <w:szCs w:val="21"/>
                <w:lang w:eastAsia="zh-CN"/>
              </w:rPr>
            </w:pPr>
            <w:r>
              <w:rPr>
                <w:rFonts w:hint="eastAsia" w:ascii="宋体" w:hAnsi="宋体" w:eastAsia="宋体" w:cs="宋体"/>
                <w:sz w:val="21"/>
                <w:szCs w:val="21"/>
              </w:rPr>
              <w:t>国际贸易实务</w:t>
            </w:r>
            <w:r>
              <w:rPr>
                <w:rFonts w:hint="eastAsia" w:ascii="宋体" w:hAnsi="宋体" w:eastAsia="宋体" w:cs="宋体"/>
                <w:sz w:val="21"/>
                <w:szCs w:val="21"/>
                <w:lang w:eastAsia="zh-CN"/>
              </w:rPr>
              <w:t>、</w:t>
            </w:r>
            <w:r>
              <w:rPr>
                <w:rFonts w:hint="eastAsia" w:ascii="宋体" w:hAnsi="宋体" w:eastAsia="宋体" w:cs="宋体"/>
                <w:sz w:val="21"/>
                <w:szCs w:val="21"/>
              </w:rPr>
              <w:t>跨境电子商务数据分析</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2</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沙仁图亚</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大连外国语大学俄语专业、本科</w:t>
            </w:r>
          </w:p>
        </w:tc>
        <w:tc>
          <w:tcPr>
            <w:tcW w:w="996" w:type="dxa"/>
            <w:noWrap w:val="0"/>
            <w:vAlign w:val="center"/>
          </w:tcPr>
          <w:p>
            <w:pPr>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俄语专业</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i w:val="0"/>
                <w:iCs w:val="0"/>
                <w:color w:val="000000"/>
                <w:kern w:val="0"/>
                <w:sz w:val="21"/>
                <w:szCs w:val="21"/>
                <w:u w:val="none"/>
                <w:lang w:val="en-US" w:eastAsia="zh-CN" w:bidi="ar"/>
              </w:rPr>
              <w:t>电子商务俄语</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cs="宋体"/>
                <w:sz w:val="21"/>
                <w:szCs w:val="21"/>
                <w:lang w:val="en-US" w:eastAsia="zh-CN"/>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3</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唐潭</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33</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新疆财经大学工商管理专业、硕士研究生</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物流管理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跨境电子商务客服</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3" w:hRule="exact"/>
          <w:jc w:val="center"/>
        </w:trPr>
        <w:tc>
          <w:tcPr>
            <w:tcW w:w="505"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cs="宋体"/>
                <w:sz w:val="21"/>
                <w:szCs w:val="21"/>
                <w:lang w:val="en-US" w:eastAsia="zh-CN"/>
              </w:rPr>
              <w:t>4</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李晓隆</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助教</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俄罗斯奔萨国立大学国际经济学专业</w:t>
            </w:r>
          </w:p>
        </w:tc>
        <w:tc>
          <w:tcPr>
            <w:tcW w:w="9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移动商务</w:t>
            </w:r>
          </w:p>
        </w:tc>
        <w:tc>
          <w:tcPr>
            <w:tcW w:w="1543" w:type="dxa"/>
            <w:noWrap w:val="0"/>
            <w:vAlign w:val="center"/>
          </w:tcPr>
          <w:p>
            <w:pPr>
              <w:tabs>
                <w:tab w:val="left" w:pos="489"/>
              </w:tabs>
              <w:jc w:val="left"/>
              <w:rPr>
                <w:rFonts w:hint="eastAsia" w:ascii="宋体" w:hAnsi="宋体" w:eastAsia="宋体" w:cs="宋体"/>
                <w:sz w:val="21"/>
                <w:szCs w:val="21"/>
                <w:lang w:eastAsia="zh-CN"/>
              </w:rPr>
            </w:pPr>
            <w:r>
              <w:rPr>
                <w:rFonts w:hint="eastAsia" w:ascii="宋体" w:hAnsi="宋体" w:eastAsia="宋体" w:cs="宋体"/>
                <w:sz w:val="21"/>
                <w:szCs w:val="21"/>
              </w:rPr>
              <w:t>跨境电子商务客服</w:t>
            </w:r>
            <w:r>
              <w:rPr>
                <w:rFonts w:hint="eastAsia" w:ascii="宋体" w:hAnsi="宋体" w:eastAsia="宋体" w:cs="宋体"/>
                <w:sz w:val="21"/>
                <w:szCs w:val="21"/>
                <w:lang w:eastAsia="zh-CN"/>
              </w:rPr>
              <w:t>、</w:t>
            </w:r>
            <w:r>
              <w:rPr>
                <w:rFonts w:hint="eastAsia" w:ascii="宋体" w:hAnsi="宋体" w:eastAsia="宋体" w:cs="宋体"/>
                <w:sz w:val="21"/>
                <w:szCs w:val="21"/>
              </w:rPr>
              <w:t>国际贸易实务</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专职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3" w:hRule="exact"/>
          <w:jc w:val="center"/>
        </w:trPr>
        <w:tc>
          <w:tcPr>
            <w:tcW w:w="505" w:type="dxa"/>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张宏萍</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女</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55</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w:t>
            </w:r>
          </w:p>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董事长</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新疆财经大学会计专业</w:t>
            </w:r>
          </w:p>
        </w:tc>
        <w:tc>
          <w:tcPr>
            <w:tcW w:w="996" w:type="dxa"/>
            <w:noWrap w:val="0"/>
            <w:vAlign w:val="center"/>
          </w:tcPr>
          <w:p>
            <w:pPr>
              <w:jc w:val="center"/>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跨境电商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中国对外经贸关系</w:t>
            </w:r>
            <w:r>
              <w:rPr>
                <w:rFonts w:hint="eastAsia" w:ascii="宋体" w:hAnsi="宋体" w:eastAsia="宋体" w:cs="宋体"/>
                <w:sz w:val="21"/>
                <w:szCs w:val="21"/>
                <w:lang w:eastAsia="zh-CN"/>
              </w:rPr>
              <w:t>、</w:t>
            </w:r>
            <w:r>
              <w:rPr>
                <w:rFonts w:hint="eastAsia" w:ascii="宋体" w:hAnsi="宋体" w:eastAsia="宋体" w:cs="宋体"/>
                <w:sz w:val="21"/>
                <w:szCs w:val="21"/>
              </w:rPr>
              <w:t>通关实务</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exact"/>
          <w:jc w:val="center"/>
        </w:trPr>
        <w:tc>
          <w:tcPr>
            <w:tcW w:w="505" w:type="dxa"/>
            <w:noWrap w:val="0"/>
            <w:vAlign w:val="center"/>
          </w:tcPr>
          <w:p>
            <w:pPr>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16</w:t>
            </w:r>
          </w:p>
        </w:tc>
        <w:tc>
          <w:tcPr>
            <w:tcW w:w="105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马蔚云</w:t>
            </w:r>
          </w:p>
        </w:tc>
        <w:tc>
          <w:tcPr>
            <w:tcW w:w="417"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男</w:t>
            </w:r>
          </w:p>
        </w:tc>
        <w:tc>
          <w:tcPr>
            <w:tcW w:w="43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47</w:t>
            </w:r>
          </w:p>
        </w:tc>
        <w:tc>
          <w:tcPr>
            <w:tcW w:w="828"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企业人员</w:t>
            </w:r>
          </w:p>
        </w:tc>
        <w:tc>
          <w:tcPr>
            <w:tcW w:w="179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大连理工大学电子与通信工程专业</w:t>
            </w:r>
          </w:p>
        </w:tc>
        <w:tc>
          <w:tcPr>
            <w:tcW w:w="996" w:type="dxa"/>
            <w:noWrap w:val="0"/>
            <w:vAlign w:val="center"/>
          </w:tcPr>
          <w:p>
            <w:pPr>
              <w:jc w:val="center"/>
              <w:rPr>
                <w:rFonts w:hint="eastAsia" w:ascii="宋体" w:hAnsi="宋体" w:eastAsia="宋体" w:cs="宋体"/>
                <w:sz w:val="21"/>
                <w:szCs w:val="21"/>
                <w:lang w:val="zh-CN" w:eastAsia="zh-CN"/>
              </w:rPr>
            </w:pPr>
            <w:r>
              <w:rPr>
                <w:rFonts w:hint="eastAsia" w:ascii="宋体" w:hAnsi="宋体" w:eastAsia="宋体" w:cs="宋体"/>
                <w:sz w:val="21"/>
                <w:szCs w:val="21"/>
                <w:lang w:val="en-US" w:eastAsia="zh-CN"/>
              </w:rPr>
              <w:t>跨境电商</w:t>
            </w:r>
          </w:p>
        </w:tc>
        <w:tc>
          <w:tcPr>
            <w:tcW w:w="1543"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rPr>
              <w:t>电商安全运行与维护</w:t>
            </w:r>
          </w:p>
        </w:tc>
        <w:tc>
          <w:tcPr>
            <w:tcW w:w="635" w:type="dxa"/>
            <w:tcBorders>
              <w:righ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exact"/>
          <w:jc w:val="center"/>
        </w:trPr>
        <w:tc>
          <w:tcPr>
            <w:tcW w:w="505"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17</w:t>
            </w:r>
          </w:p>
        </w:tc>
        <w:tc>
          <w:tcPr>
            <w:tcW w:w="1056"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吕格格</w:t>
            </w:r>
          </w:p>
        </w:tc>
        <w:tc>
          <w:tcPr>
            <w:tcW w:w="417"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女</w:t>
            </w:r>
          </w:p>
        </w:tc>
        <w:tc>
          <w:tcPr>
            <w:tcW w:w="433"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24</w:t>
            </w:r>
          </w:p>
        </w:tc>
        <w:tc>
          <w:tcPr>
            <w:tcW w:w="828"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外聘教师</w:t>
            </w:r>
          </w:p>
        </w:tc>
        <w:tc>
          <w:tcPr>
            <w:tcW w:w="1796"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红河学院物流管理专业</w:t>
            </w:r>
          </w:p>
        </w:tc>
        <w:tc>
          <w:tcPr>
            <w:tcW w:w="996" w:type="dxa"/>
            <w:noWrap w:val="0"/>
            <w:vAlign w:val="center"/>
          </w:tcPr>
          <w:p>
            <w:pPr>
              <w:jc w:val="center"/>
              <w:rPr>
                <w:rFonts w:hint="default" w:ascii="宋体" w:hAnsi="宋体" w:eastAsia="宋体" w:cs="宋体"/>
                <w:sz w:val="21"/>
                <w:szCs w:val="21"/>
                <w:highlight w:val="none"/>
                <w:lang w:val="en-US" w:eastAsia="zh-CN"/>
              </w:rPr>
            </w:pPr>
            <w:r>
              <w:rPr>
                <w:rFonts w:hint="eastAsia" w:ascii="宋体" w:hAnsi="宋体" w:cs="宋体"/>
                <w:sz w:val="21"/>
                <w:szCs w:val="21"/>
                <w:highlight w:val="none"/>
                <w:lang w:val="en-US" w:eastAsia="zh-CN"/>
              </w:rPr>
              <w:t>物流管理</w:t>
            </w:r>
          </w:p>
        </w:tc>
        <w:tc>
          <w:tcPr>
            <w:tcW w:w="154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跨境电子商务物流</w:t>
            </w:r>
          </w:p>
        </w:tc>
        <w:tc>
          <w:tcPr>
            <w:tcW w:w="635" w:type="dxa"/>
            <w:tcBorders>
              <w:righ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exact"/>
          <w:jc w:val="center"/>
        </w:trPr>
        <w:tc>
          <w:tcPr>
            <w:tcW w:w="505"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18</w:t>
            </w:r>
          </w:p>
        </w:tc>
        <w:tc>
          <w:tcPr>
            <w:tcW w:w="105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何虹瑾</w:t>
            </w:r>
          </w:p>
        </w:tc>
        <w:tc>
          <w:tcPr>
            <w:tcW w:w="417"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女</w:t>
            </w:r>
          </w:p>
        </w:tc>
        <w:tc>
          <w:tcPr>
            <w:tcW w:w="433"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26</w:t>
            </w:r>
          </w:p>
        </w:tc>
        <w:tc>
          <w:tcPr>
            <w:tcW w:w="828"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外聘教师</w:t>
            </w:r>
          </w:p>
        </w:tc>
        <w:tc>
          <w:tcPr>
            <w:tcW w:w="17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英国朴次茅斯大学国际商务与管理专业</w:t>
            </w:r>
          </w:p>
        </w:tc>
        <w:tc>
          <w:tcPr>
            <w:tcW w:w="9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跨境电商</w:t>
            </w:r>
          </w:p>
        </w:tc>
        <w:tc>
          <w:tcPr>
            <w:tcW w:w="154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国际贸易实务</w:t>
            </w:r>
          </w:p>
        </w:tc>
        <w:tc>
          <w:tcPr>
            <w:tcW w:w="635" w:type="dxa"/>
            <w:tcBorders>
              <w:righ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exact"/>
          <w:jc w:val="center"/>
        </w:trPr>
        <w:tc>
          <w:tcPr>
            <w:tcW w:w="505"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19</w:t>
            </w:r>
          </w:p>
        </w:tc>
        <w:tc>
          <w:tcPr>
            <w:tcW w:w="105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吴桐童</w:t>
            </w:r>
          </w:p>
        </w:tc>
        <w:tc>
          <w:tcPr>
            <w:tcW w:w="417"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女</w:t>
            </w:r>
          </w:p>
        </w:tc>
        <w:tc>
          <w:tcPr>
            <w:tcW w:w="433"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26</w:t>
            </w:r>
          </w:p>
        </w:tc>
        <w:tc>
          <w:tcPr>
            <w:tcW w:w="828"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外聘教师</w:t>
            </w:r>
          </w:p>
        </w:tc>
        <w:tc>
          <w:tcPr>
            <w:tcW w:w="17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浙江工商大学杭州商学院工商管理专业</w:t>
            </w:r>
          </w:p>
        </w:tc>
        <w:tc>
          <w:tcPr>
            <w:tcW w:w="996"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物流管理</w:t>
            </w:r>
          </w:p>
        </w:tc>
        <w:tc>
          <w:tcPr>
            <w:tcW w:w="154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中国对外经贸关系</w:t>
            </w:r>
          </w:p>
        </w:tc>
        <w:tc>
          <w:tcPr>
            <w:tcW w:w="635" w:type="dxa"/>
            <w:tcBorders>
              <w:righ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exact"/>
          <w:jc w:val="center"/>
        </w:trPr>
        <w:tc>
          <w:tcPr>
            <w:tcW w:w="505"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20</w:t>
            </w:r>
          </w:p>
        </w:tc>
        <w:tc>
          <w:tcPr>
            <w:tcW w:w="105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刘媛媛</w:t>
            </w:r>
          </w:p>
        </w:tc>
        <w:tc>
          <w:tcPr>
            <w:tcW w:w="417"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女</w:t>
            </w:r>
          </w:p>
        </w:tc>
        <w:tc>
          <w:tcPr>
            <w:tcW w:w="433"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26</w:t>
            </w:r>
          </w:p>
        </w:tc>
        <w:tc>
          <w:tcPr>
            <w:tcW w:w="828"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外聘教师</w:t>
            </w:r>
          </w:p>
        </w:tc>
        <w:tc>
          <w:tcPr>
            <w:tcW w:w="17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青岛科技大学市场营销专业</w:t>
            </w:r>
          </w:p>
        </w:tc>
        <w:tc>
          <w:tcPr>
            <w:tcW w:w="996"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跨境电商</w:t>
            </w:r>
          </w:p>
        </w:tc>
        <w:tc>
          <w:tcPr>
            <w:tcW w:w="154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跨境电子商务客服</w:t>
            </w:r>
          </w:p>
        </w:tc>
        <w:tc>
          <w:tcPr>
            <w:tcW w:w="635" w:type="dxa"/>
            <w:tcBorders>
              <w:righ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兼职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5" w:hRule="exact"/>
          <w:jc w:val="center"/>
        </w:trPr>
        <w:tc>
          <w:tcPr>
            <w:tcW w:w="505"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21</w:t>
            </w:r>
          </w:p>
        </w:tc>
        <w:tc>
          <w:tcPr>
            <w:tcW w:w="105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韩谏</w:t>
            </w:r>
          </w:p>
        </w:tc>
        <w:tc>
          <w:tcPr>
            <w:tcW w:w="417"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男</w:t>
            </w:r>
          </w:p>
        </w:tc>
        <w:tc>
          <w:tcPr>
            <w:tcW w:w="433"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34</w:t>
            </w:r>
          </w:p>
        </w:tc>
        <w:tc>
          <w:tcPr>
            <w:tcW w:w="828" w:type="dxa"/>
            <w:noWrap w:val="0"/>
            <w:vAlign w:val="center"/>
          </w:tcPr>
          <w:p>
            <w:pPr>
              <w:jc w:val="center"/>
              <w:rPr>
                <w:rFonts w:hint="eastAsia" w:ascii="宋体" w:hAnsi="宋体" w:cs="宋体"/>
                <w:sz w:val="21"/>
                <w:szCs w:val="21"/>
                <w:highlight w:val="none"/>
                <w:lang w:val="en-US" w:eastAsia="zh-CN"/>
              </w:rPr>
            </w:pPr>
            <w:r>
              <w:rPr>
                <w:rFonts w:hint="eastAsia" w:ascii="宋体" w:hAnsi="宋体" w:cs="宋体"/>
                <w:sz w:val="21"/>
                <w:szCs w:val="21"/>
                <w:highlight w:val="none"/>
                <w:lang w:val="en-US" w:eastAsia="zh-CN"/>
              </w:rPr>
              <w:t>外聘教师</w:t>
            </w:r>
          </w:p>
        </w:tc>
        <w:tc>
          <w:tcPr>
            <w:tcW w:w="17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新疆大学电子信息工程</w:t>
            </w:r>
          </w:p>
        </w:tc>
        <w:tc>
          <w:tcPr>
            <w:tcW w:w="996" w:type="dxa"/>
            <w:noWrap w:val="0"/>
            <w:vAlign w:val="center"/>
          </w:tcPr>
          <w:p>
            <w:pPr>
              <w:jc w:val="center"/>
              <w:rPr>
                <w:rFonts w:hint="default" w:ascii="宋体" w:hAnsi="宋体" w:cs="宋体"/>
                <w:sz w:val="21"/>
                <w:szCs w:val="21"/>
                <w:highlight w:val="none"/>
                <w:lang w:val="en-US" w:eastAsia="zh-CN"/>
              </w:rPr>
            </w:pPr>
            <w:r>
              <w:rPr>
                <w:rFonts w:hint="eastAsia" w:ascii="宋体" w:hAnsi="宋体" w:cs="宋体"/>
                <w:sz w:val="21"/>
                <w:szCs w:val="21"/>
                <w:highlight w:val="none"/>
                <w:lang w:val="en-US" w:eastAsia="zh-CN"/>
              </w:rPr>
              <w:t>跨境电商</w:t>
            </w:r>
          </w:p>
        </w:tc>
        <w:tc>
          <w:tcPr>
            <w:tcW w:w="1543" w:type="dxa"/>
            <w:noWrap w:val="0"/>
            <w:vAlign w:val="center"/>
          </w:tcPr>
          <w:p>
            <w:pPr>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电商安全运行与维护</w:t>
            </w:r>
          </w:p>
        </w:tc>
        <w:tc>
          <w:tcPr>
            <w:tcW w:w="635" w:type="dxa"/>
            <w:tcBorders>
              <w:righ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否</w:t>
            </w:r>
          </w:p>
        </w:tc>
        <w:tc>
          <w:tcPr>
            <w:tcW w:w="730" w:type="dxa"/>
            <w:tcBorders>
              <w:left w:val="single" w:color="auto" w:sz="4" w:space="0"/>
            </w:tcBorders>
            <w:noWrap w:val="0"/>
            <w:vAlign w:val="center"/>
          </w:tcPr>
          <w:p>
            <w:pPr>
              <w:jc w:val="center"/>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兼职</w:t>
            </w:r>
          </w:p>
        </w:tc>
      </w:tr>
    </w:tbl>
    <w:p>
      <w:pPr>
        <w:rPr>
          <w:rFonts w:hint="eastAsia" w:ascii="方正小标宋_GBK" w:hAnsi="方正小标宋_GBK" w:eastAsia="方正小标宋_GBK" w:cs="方正小标宋_GBK"/>
          <w:color w:val="auto"/>
          <w:sz w:val="44"/>
          <w:szCs w:val="44"/>
          <w:u w:val="none"/>
        </w:rPr>
        <w:sectPr>
          <w:pgSz w:w="11906" w:h="16838"/>
          <w:pgMar w:top="2098" w:right="1417" w:bottom="2098" w:left="1531" w:header="720" w:footer="720" w:gutter="0"/>
          <w:cols w:space="720" w:num="1"/>
          <w:rtlGutter w:val="0"/>
          <w:docGrid w:type="lines" w:linePitch="319" w:charSpace="0"/>
        </w:sectPr>
      </w:pPr>
      <w:r>
        <w:rPr>
          <w:sz w:val="21"/>
          <w:highlight w:val="none"/>
        </w:rPr>
        <mc:AlternateContent>
          <mc:Choice Requires="wps">
            <w:drawing>
              <wp:anchor distT="0" distB="0" distL="114300" distR="114300" simplePos="0" relativeHeight="251659264" behindDoc="0" locked="0" layoutInCell="1" allowOverlap="1">
                <wp:simplePos x="0" y="0"/>
                <wp:positionH relativeFrom="column">
                  <wp:posOffset>85725</wp:posOffset>
                </wp:positionH>
                <wp:positionV relativeFrom="paragraph">
                  <wp:posOffset>111760</wp:posOffset>
                </wp:positionV>
                <wp:extent cx="5463540" cy="3284855"/>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5463540" cy="3284855"/>
                        </a:xfrm>
                        <a:prstGeom prst="rect">
                          <a:avLst/>
                        </a:prstGeom>
                        <a:noFill/>
                        <a:ln>
                          <a:noFill/>
                        </a:ln>
                      </wps:spPr>
                      <wps:txbx>
                        <w:txbxContent>
                          <w:p>
                            <w:pPr>
                              <w:rPr>
                                <w:rFonts w:hint="eastAsia"/>
                                <w:highlight w:val="none"/>
                                <w:lang w:val="en-US" w:eastAsia="zh-CN"/>
                              </w:rPr>
                            </w:pPr>
                            <w:r>
                              <w:rPr>
                                <w:rFonts w:hint="eastAsia"/>
                                <w:highlight w:val="none"/>
                                <w:lang w:val="en-US" w:eastAsia="zh-CN"/>
                              </w:rPr>
                              <w:t>佐证材料：</w:t>
                            </w:r>
                          </w:p>
                          <w:p>
                            <w:pPr>
                              <w:pStyle w:val="2"/>
                              <w:rPr>
                                <w:rFonts w:hint="eastAsia"/>
                                <w:lang w:val="en-US" w:eastAsia="zh-CN"/>
                              </w:rPr>
                            </w:pPr>
                            <w:r>
                              <w:drawing>
                                <wp:inline distT="0" distB="0" distL="114300" distR="114300">
                                  <wp:extent cx="5279390" cy="2619375"/>
                                  <wp:effectExtent l="0" t="0" r="381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279390" cy="2619375"/>
                                          </a:xfrm>
                                          <a:prstGeom prst="rect">
                                            <a:avLst/>
                                          </a:prstGeom>
                                          <a:noFill/>
                                          <a:ln>
                                            <a:noFill/>
                                          </a:ln>
                                        </pic:spPr>
                                      </pic:pic>
                                    </a:graphicData>
                                  </a:graphic>
                                </wp:inline>
                              </w:drawing>
                            </w:r>
                          </w:p>
                        </w:txbxContent>
                      </wps:txbx>
                      <wps:bodyPr upright="1"/>
                    </wps:wsp>
                  </a:graphicData>
                </a:graphic>
              </wp:anchor>
            </w:drawing>
          </mc:Choice>
          <mc:Fallback>
            <w:pict>
              <v:shape id="_x0000_s1026" o:spid="_x0000_s1026" o:spt="202" type="#_x0000_t202" style="position:absolute;left:0pt;margin-left:6.75pt;margin-top:8.8pt;height:258.65pt;width:430.2pt;z-index:251659264;mso-width-relative:page;mso-height-relative:page;" filled="f" stroked="f" coordsize="21600,21600" o:gfxdata="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EyMd89cA&#10;AAAJAQAADwAAAAAAAAABACAAAAAiAAAAZHJzL2Rvd25yZXYueG1sUEsBAhQAFAAAAAgAh07iQNc4&#10;bdyuAQAAUQMAAA4AAAAAAAAAAQAgAAAAJgEAAGRycy9lMm9Eb2MueG1sUEsFBgAAAAAGAAYAWQEA&#10;AEYFAAAAAA==&#10;">
                <v:fill on="f" focussize="0,0"/>
                <v:stroke on="f"/>
                <v:imagedata o:title=""/>
                <o:lock v:ext="edit" aspectratio="f"/>
                <v:textbox>
                  <w:txbxContent>
                    <w:p>
                      <w:pPr>
                        <w:rPr>
                          <w:rFonts w:hint="eastAsia"/>
                          <w:highlight w:val="none"/>
                          <w:lang w:val="en-US" w:eastAsia="zh-CN"/>
                        </w:rPr>
                      </w:pPr>
                      <w:r>
                        <w:rPr>
                          <w:rFonts w:hint="eastAsia"/>
                          <w:highlight w:val="none"/>
                          <w:lang w:val="en-US" w:eastAsia="zh-CN"/>
                        </w:rPr>
                        <w:t>佐证材料：</w:t>
                      </w:r>
                    </w:p>
                    <w:p>
                      <w:pPr>
                        <w:pStyle w:val="2"/>
                        <w:rPr>
                          <w:rFonts w:hint="eastAsia"/>
                          <w:lang w:val="en-US" w:eastAsia="zh-CN"/>
                        </w:rPr>
                      </w:pPr>
                      <w:r>
                        <w:drawing>
                          <wp:inline distT="0" distB="0" distL="114300" distR="114300">
                            <wp:extent cx="5279390" cy="2619375"/>
                            <wp:effectExtent l="0" t="0" r="3810" b="952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2"/>
                                    <a:stretch>
                                      <a:fillRect/>
                                    </a:stretch>
                                  </pic:blipFill>
                                  <pic:spPr>
                                    <a:xfrm>
                                      <a:off x="0" y="0"/>
                                      <a:ext cx="5279390" cy="2619375"/>
                                    </a:xfrm>
                                    <a:prstGeom prst="rect">
                                      <a:avLst/>
                                    </a:prstGeom>
                                    <a:noFill/>
                                    <a:ln>
                                      <a:noFill/>
                                    </a:ln>
                                  </pic:spPr>
                                </pic:pic>
                              </a:graphicData>
                            </a:graphic>
                          </wp:inline>
                        </w:drawing>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after="157" w:afterLines="50" w:line="580" w:lineRule="exact"/>
        <w:jc w:val="center"/>
        <w:textAlignment w:val="auto"/>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其他办学条件情况表</w:t>
      </w:r>
    </w:p>
    <w:tbl>
      <w:tblPr>
        <w:tblStyle w:val="12"/>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6"/>
        <w:gridCol w:w="342"/>
        <w:gridCol w:w="534"/>
        <w:gridCol w:w="266"/>
        <w:gridCol w:w="1567"/>
        <w:gridCol w:w="449"/>
        <w:gridCol w:w="669"/>
        <w:gridCol w:w="327"/>
        <w:gridCol w:w="1002"/>
        <w:gridCol w:w="21"/>
        <w:gridCol w:w="198"/>
        <w:gridCol w:w="374"/>
        <w:gridCol w:w="1465"/>
        <w:gridCol w:w="1186"/>
        <w:gridCol w:w="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2" w:hRule="atLeast"/>
          <w:jc w:val="center"/>
        </w:trPr>
        <w:tc>
          <w:tcPr>
            <w:tcW w:w="1056" w:type="dxa"/>
            <w:noWrap w:val="0"/>
            <w:vAlign w:val="center"/>
          </w:tcPr>
          <w:p>
            <w:pPr>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专业办学经费及来源</w:t>
            </w:r>
          </w:p>
        </w:tc>
        <w:tc>
          <w:tcPr>
            <w:tcW w:w="3827" w:type="dxa"/>
            <w:gridSpan w:val="6"/>
            <w:noWrap w:val="0"/>
            <w:vAlign w:val="center"/>
          </w:tcPr>
          <w:p>
            <w:pPr>
              <w:widowControl/>
              <w:spacing w:line="280" w:lineRule="exact"/>
              <w:ind w:firstLine="420" w:firstLineChars="200"/>
              <w:jc w:val="center"/>
              <w:rPr>
                <w:rFonts w:hint="default" w:ascii="Times New Roman" w:hAnsi="Times New Roman" w:eastAsia="方正仿宋_GBK" w:cs="Times New Roman"/>
                <w:color w:val="auto"/>
                <w:u w:val="none"/>
                <w:lang w:val="en-US" w:eastAsia="zh-CN"/>
              </w:rPr>
            </w:pPr>
            <w:r>
              <w:rPr>
                <w:rFonts w:hint="eastAsia" w:ascii="宋体" w:hAnsi="宋体" w:eastAsia="宋体" w:cs="宋体"/>
                <w:sz w:val="21"/>
                <w:szCs w:val="21"/>
              </w:rPr>
              <w:t>学院自筹</w:t>
            </w:r>
          </w:p>
        </w:tc>
        <w:tc>
          <w:tcPr>
            <w:tcW w:w="1548" w:type="dxa"/>
            <w:gridSpan w:val="4"/>
            <w:noWrap w:val="0"/>
            <w:vAlign w:val="center"/>
          </w:tcPr>
          <w:p>
            <w:pPr>
              <w:widowControl/>
              <w:spacing w:line="280" w:lineRule="exact"/>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专业仪器设备总价值（万元）</w:t>
            </w:r>
          </w:p>
        </w:tc>
        <w:tc>
          <w:tcPr>
            <w:tcW w:w="3149" w:type="dxa"/>
            <w:gridSpan w:val="4"/>
            <w:noWrap w:val="0"/>
            <w:vAlign w:val="center"/>
          </w:tcPr>
          <w:p>
            <w:pPr>
              <w:widowControl/>
              <w:spacing w:line="280" w:lineRule="exact"/>
              <w:ind w:firstLine="420" w:firstLineChars="200"/>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68" w:hRule="atLeast"/>
          <w:jc w:val="center"/>
        </w:trPr>
        <w:tc>
          <w:tcPr>
            <w:tcW w:w="1056" w:type="dxa"/>
            <w:noWrap w:val="0"/>
            <w:vAlign w:val="center"/>
          </w:tcPr>
          <w:p>
            <w:pPr>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专业图书资料、数字化教学资源情况</w:t>
            </w:r>
          </w:p>
        </w:tc>
        <w:tc>
          <w:tcPr>
            <w:tcW w:w="8524" w:type="dxa"/>
            <w:gridSpan w:val="14"/>
            <w:noWrap w:val="0"/>
            <w:vAlign w:val="center"/>
          </w:tcPr>
          <w:p>
            <w:pPr>
              <w:widowControl/>
              <w:spacing w:line="280" w:lineRule="exact"/>
              <w:ind w:firstLine="420" w:firstLineChars="200"/>
              <w:jc w:val="both"/>
              <w:rPr>
                <w:rFonts w:hint="default" w:ascii="Times New Roman" w:hAnsi="Times New Roman" w:eastAsia="方正仿宋_GBK" w:cs="Times New Roman"/>
                <w:color w:val="auto"/>
                <w:u w:val="none"/>
              </w:rPr>
            </w:pPr>
            <w:r>
              <w:rPr>
                <w:rFonts w:hint="eastAsia" w:ascii="Calibri" w:hAnsi="Calibri" w:cs="Calibri"/>
              </w:rPr>
              <w:t>学院图书馆具有比较充足的计算机类图书、电子阅览室和期刊存量，每年有5000元的计算机专业图书购置计划，目前可用于教学的专业图书3万余册。开通了CNKI全文期刊数据库，可以满足教师和学生借阅、查找资料的需要。目前学院</w:t>
            </w:r>
            <w:r>
              <w:rPr>
                <w:rFonts w:hint="eastAsia" w:ascii="Calibri" w:hAnsi="Calibri" w:cs="Calibri"/>
                <w:lang w:val="en-US" w:eastAsia="zh-CN"/>
              </w:rPr>
              <w:t>已经购买了跨境电商专业相应的教学实践和技能竞赛的平台软件，依托已有的智慧教室及跨境电商生产性实训基地为专业建设提供了基础保障</w:t>
            </w:r>
            <w:r>
              <w:rPr>
                <w:rFonts w:hint="eastAsia" w:ascii="Calibri" w:hAnsi="Calibri" w:cs="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9" w:hRule="atLeast"/>
          <w:jc w:val="center"/>
        </w:trPr>
        <w:tc>
          <w:tcPr>
            <w:tcW w:w="1056" w:type="dxa"/>
            <w:vMerge w:val="restart"/>
            <w:noWrap w:val="0"/>
            <w:vAlign w:val="center"/>
          </w:tcPr>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主要专业仪器设备装备情况</w:t>
            </w: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both"/>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主要专业仪器设备装备情况</w:t>
            </w: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主要专业仪器设备装备情况</w:t>
            </w: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p>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主要专业仪器设备装备情况</w:t>
            </w:r>
          </w:p>
        </w:tc>
        <w:tc>
          <w:tcPr>
            <w:tcW w:w="876" w:type="dxa"/>
            <w:gridSpan w:val="2"/>
            <w:noWrap w:val="0"/>
            <w:vAlign w:val="center"/>
          </w:tcPr>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序号</w:t>
            </w:r>
          </w:p>
        </w:tc>
        <w:tc>
          <w:tcPr>
            <w:tcW w:w="2282" w:type="dxa"/>
            <w:gridSpan w:val="3"/>
            <w:noWrap w:val="0"/>
            <w:vAlign w:val="center"/>
          </w:tcPr>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设备名称</w:t>
            </w:r>
          </w:p>
        </w:tc>
        <w:tc>
          <w:tcPr>
            <w:tcW w:w="2019" w:type="dxa"/>
            <w:gridSpan w:val="4"/>
            <w:noWrap w:val="0"/>
            <w:vAlign w:val="center"/>
          </w:tcPr>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型号/规格</w:t>
            </w:r>
          </w:p>
        </w:tc>
        <w:tc>
          <w:tcPr>
            <w:tcW w:w="572" w:type="dxa"/>
            <w:gridSpan w:val="2"/>
            <w:noWrap w:val="0"/>
            <w:vAlign w:val="center"/>
          </w:tcPr>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数量</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购入时间</w:t>
            </w:r>
          </w:p>
        </w:tc>
        <w:tc>
          <w:tcPr>
            <w:tcW w:w="1310" w:type="dxa"/>
            <w:gridSpan w:val="2"/>
            <w:noWrap w:val="0"/>
            <w:vAlign w:val="center"/>
          </w:tcPr>
          <w:p>
            <w:pPr>
              <w:widowControl/>
              <w:jc w:val="center"/>
              <w:rPr>
                <w:rFonts w:hint="eastAsia" w:eastAsia="方正仿宋_GBK" w:cs="Times New Roman"/>
                <w:color w:val="auto"/>
                <w:u w:val="none"/>
                <w:lang w:eastAsia="zh-CN"/>
              </w:rPr>
            </w:pPr>
            <w:r>
              <w:rPr>
                <w:rFonts w:hint="eastAsia" w:eastAsia="方正仿宋_GBK" w:cs="Times New Roman"/>
                <w:color w:val="auto"/>
                <w:u w:val="none"/>
                <w:lang w:eastAsia="zh-CN"/>
              </w:rPr>
              <w:t>仪器设备值</w:t>
            </w:r>
          </w:p>
          <w:p>
            <w:pPr>
              <w:widowControl/>
              <w:jc w:val="center"/>
              <w:rPr>
                <w:rFonts w:hint="eastAsia" w:ascii="Times New Roman" w:hAnsi="Times New Roman" w:eastAsia="方正仿宋_GBK" w:cs="Times New Roman"/>
                <w:color w:val="auto"/>
                <w:u w:val="none"/>
                <w:lang w:eastAsia="zh-CN"/>
              </w:rPr>
            </w:pPr>
            <w:r>
              <w:rPr>
                <w:rFonts w:hint="eastAsia" w:eastAsia="方正仿宋_GBK" w:cs="Times New Roman"/>
                <w:color w:val="auto"/>
                <w:u w:val="none"/>
                <w:lang w:eastAsia="zh-CN"/>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工业智慧物流云教学实训平台</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型号：智慧物流V1.0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186800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新一代人机对话穿戴式采集腕表</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型号：AUTOID</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挂带式条码采集Ecard</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w:t>
            </w:r>
            <w:r>
              <w:rPr>
                <w:rStyle w:val="24"/>
                <w:lang w:val="en-US" w:eastAsia="zh-CN" w:bidi="ar"/>
              </w:rPr>
              <w:t>配套定制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5G+云语音仓储教学管理系统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型号：ES-VMS</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186770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5G手持终端</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品牌：优博讯 型号：i6310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语音存储货架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6</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7</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云端语音大数据监控看板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品牌：DIDOSOFT 型号：DS-T6520-E2A</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14750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货到人货架专用纸盒</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模拟物料</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周转箱</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40</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无动力滚动输送线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7560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AGV货到人调度系统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型号：物流孪生 V1.0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160140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系统配件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条形码打印机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w:t>
            </w:r>
            <w:r>
              <w:rPr>
                <w:rStyle w:val="24"/>
                <w:lang w:val="en-US" w:eastAsia="zh-CN" w:bidi="ar"/>
              </w:rPr>
              <w:t xml:space="preserve">斑马 </w:t>
            </w:r>
            <w:r>
              <w:rPr>
                <w:rFonts w:hint="eastAsia" w:ascii="宋体" w:hAnsi="宋体" w:eastAsia="宋体" w:cs="宋体"/>
                <w:i w:val="0"/>
                <w:iCs w:val="0"/>
                <w:color w:val="000000"/>
                <w:kern w:val="0"/>
                <w:sz w:val="21"/>
                <w:szCs w:val="21"/>
                <w:u w:val="none"/>
                <w:lang w:val="en-US" w:eastAsia="zh-CN" w:bidi="ar"/>
              </w:rPr>
              <w:t>型号：GK888T</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6430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基于投影防错指引技术的智能AGV货到人工作站平台</w:t>
            </w:r>
          </w:p>
        </w:tc>
        <w:tc>
          <w:tcPr>
            <w:tcW w:w="2019" w:type="dxa"/>
            <w:gridSpan w:val="4"/>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型号：AGV投影工作站 V1.0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126100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16</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智慧物流综合实训平台</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型号：ES-LEMS</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157000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17</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智能穿梭存储货架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90720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四向智能穿梭车</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211680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19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料箱</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100</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入货对接输送线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24370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出货对接输送线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24370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输送控制系统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41170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传感器系统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4"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工位台</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3"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电脑桌椅</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品牌：东尚信息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153300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eastAsia" w:ascii="Times New Roman" w:hAnsi="Times New Roman" w:eastAsia="方正仿宋_GBK" w:cs="Times New Roman"/>
                <w:color w:val="auto"/>
                <w:kern w:val="2"/>
                <w:sz w:val="21"/>
                <w:szCs w:val="24"/>
                <w:u w:val="none"/>
                <w:lang w:val="en-US" w:eastAsia="zh-CN" w:bidi="ar-SA"/>
              </w:rPr>
            </w:pPr>
            <w:r>
              <w:rPr>
                <w:rFonts w:hint="eastAsia" w:eastAsia="方正仿宋_GBK" w:cs="Times New Roman"/>
                <w:color w:val="auto"/>
                <w:u w:val="none"/>
                <w:lang w:val="en-US" w:eastAsia="zh-CN"/>
              </w:rPr>
              <w:t>26</w:t>
            </w:r>
          </w:p>
        </w:tc>
        <w:tc>
          <w:tcPr>
            <w:tcW w:w="2282" w:type="dxa"/>
            <w:gridSpan w:val="3"/>
            <w:noWrap w:val="0"/>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RCS调度系统</w:t>
            </w:r>
          </w:p>
        </w:tc>
        <w:tc>
          <w:tcPr>
            <w:tcW w:w="2019" w:type="dxa"/>
            <w:gridSpan w:val="4"/>
            <w:noWrap w:val="0"/>
            <w:vAlign w:val="top"/>
          </w:tcPr>
          <w:p>
            <w:pPr>
              <w:keepNext w:val="0"/>
              <w:keepLines w:val="0"/>
              <w:widowControl/>
              <w:suppressLineNumbers w:val="0"/>
              <w:jc w:val="center"/>
              <w:textAlignment w:val="top"/>
              <w:rPr>
                <w:rFonts w:hint="eastAsia"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品牌：东尚信息 型号：ES-MRCSN</w:t>
            </w:r>
          </w:p>
        </w:tc>
        <w:tc>
          <w:tcPr>
            <w:tcW w:w="572" w:type="dxa"/>
            <w:gridSpan w:val="2"/>
            <w:noWrap w:val="0"/>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eastAsia" w:ascii="Times New Roman" w:hAnsi="Times New Roman" w:eastAsia="方正仿宋_GBK" w:cs="Times New Roman"/>
                <w:color w:val="auto"/>
                <w:kern w:val="2"/>
                <w:sz w:val="21"/>
                <w:szCs w:val="24"/>
                <w:u w:val="none"/>
                <w:lang w:val="en-US" w:eastAsia="zh-CN" w:bidi="ar-SA"/>
              </w:rPr>
            </w:pPr>
            <w:r>
              <w:rPr>
                <w:rFonts w:hint="eastAsia" w:eastAsia="方正仿宋_GBK" w:cs="Times New Roman"/>
                <w:color w:val="auto"/>
                <w:u w:val="none"/>
                <w:lang w:val="en-US" w:eastAsia="zh-CN"/>
              </w:rPr>
              <w:t>2024.01</w:t>
            </w:r>
          </w:p>
        </w:tc>
        <w:tc>
          <w:tcPr>
            <w:tcW w:w="1310" w:type="dxa"/>
            <w:gridSpan w:val="2"/>
            <w:noWrap w:val="0"/>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186800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27</w:t>
            </w:r>
          </w:p>
        </w:tc>
        <w:tc>
          <w:tcPr>
            <w:tcW w:w="2282" w:type="dxa"/>
            <w:gridSpan w:val="3"/>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台式电脑</w:t>
            </w:r>
          </w:p>
        </w:tc>
        <w:tc>
          <w:tcPr>
            <w:tcW w:w="2019" w:type="dxa"/>
            <w:gridSpan w:val="4"/>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品牌：清华同方 型号：超越E500</w:t>
            </w:r>
          </w:p>
        </w:tc>
        <w:tc>
          <w:tcPr>
            <w:tcW w:w="572" w:type="dxa"/>
            <w:gridSpan w:val="2"/>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65</w:t>
            </w:r>
          </w:p>
        </w:tc>
        <w:tc>
          <w:tcPr>
            <w:tcW w:w="1465" w:type="dxa"/>
            <w:noWrap w:val="0"/>
            <w:vAlign w:val="center"/>
          </w:tcPr>
          <w:p>
            <w:pPr>
              <w:widowControl/>
              <w:jc w:val="center"/>
              <w:rPr>
                <w:rFonts w:hint="eastAsia" w:eastAsia="方正仿宋_GBK" w:cs="Times New Roman"/>
                <w:color w:val="auto"/>
                <w:u w:val="none"/>
                <w:lang w:val="en-US" w:eastAsia="zh-CN"/>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eastAsia"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497250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服务器</w:t>
            </w:r>
          </w:p>
        </w:tc>
        <w:tc>
          <w:tcPr>
            <w:tcW w:w="2019" w:type="dxa"/>
            <w:gridSpan w:val="4"/>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品牌：联想 型号：ThinkServer SR588</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114660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嵌入式组合桌椅</w:t>
            </w:r>
          </w:p>
        </w:tc>
        <w:tc>
          <w:tcPr>
            <w:tcW w:w="2019" w:type="dxa"/>
            <w:gridSpan w:val="4"/>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品牌：和瑞丰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18</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107730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实训工位桌椅</w:t>
            </w:r>
          </w:p>
        </w:tc>
        <w:tc>
          <w:tcPr>
            <w:tcW w:w="2019" w:type="dxa"/>
            <w:gridSpan w:val="4"/>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品牌：和瑞丰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30</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交换机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品牌：H3C  型号：S5120V3-52P-LI</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6420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机柜</w:t>
            </w:r>
          </w:p>
        </w:tc>
        <w:tc>
          <w:tcPr>
            <w:tcW w:w="2019" w:type="dxa"/>
            <w:gridSpan w:val="4"/>
            <w:noWrap w:val="0"/>
            <w:vAlign w:val="top"/>
          </w:tcPr>
          <w:p>
            <w:pPr>
              <w:keepNext w:val="0"/>
              <w:keepLines w:val="0"/>
              <w:widowControl/>
              <w:suppressLineNumbers w:val="0"/>
              <w:jc w:val="center"/>
              <w:textAlignment w:val="top"/>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品牌：兴华 型号：A6022</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音响系统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品牌：LK音响、宾帝功放 型号：K10、K-2000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空调</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品牌：格力 型号：KFR-72LW/NhGm3BAj</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多媒体讲台</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品牌：和瑞丰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36</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智慧黑板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品牌：清华同方 型号：TF86Z-Q4002</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14490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37</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综合布线及耗材</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品牌：定制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打印机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品牌：京瓷 型号：M8124cidn</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17640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39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kern w:val="2"/>
                <w:sz w:val="21"/>
                <w:szCs w:val="24"/>
                <w:u w:val="none"/>
                <w:lang w:val="en-US" w:eastAsia="zh-CN" w:bidi="ar-SA"/>
              </w:rPr>
            </w:pPr>
            <w:r>
              <w:rPr>
                <w:rFonts w:hint="eastAsia" w:ascii="宋体" w:hAnsi="宋体" w:eastAsia="宋体" w:cs="宋体"/>
                <w:i w:val="0"/>
                <w:iCs w:val="0"/>
                <w:color w:val="000000"/>
                <w:kern w:val="0"/>
                <w:sz w:val="21"/>
                <w:szCs w:val="21"/>
                <w:u w:val="none"/>
                <w:lang w:val="en-US" w:eastAsia="zh-CN" w:bidi="ar"/>
              </w:rPr>
              <w:t>工作电脑</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品牌：联想 型号：thinkstation k-c2</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电脑桌椅</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品牌：和瑞丰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服务器</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品牌：联想 型号：ThinkServer SR588</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43390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智慧黑板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品牌：清华同方 型号：TF86Z-Q4002</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2025.01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31500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智能手持终端</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品牌：东大集成 型号：Q7-(Grip)-HZ</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both"/>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激光打印机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品牌：惠普 型号：HP M227fdn</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条码打印机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品牌：汉印 型号：XT100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46</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潜伏式搬运机器人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品牌：旷视 型号：MegBot-T800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141200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47</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自动充电桩</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品牌：旷视 型号：ICS4845B-A0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存储货架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49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机器人调度软件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品牌：旷视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159000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物料箱</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品牌：东晨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120</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模拟物料</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拣选台</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流利货架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电子标签</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品牌：爱鸥 型号：CTW2273P</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17100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55</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物料箱</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品牌：东晨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24</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56</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线性搬运机器人</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品牌：旷视 型号：MegBot-T800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141200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57</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自动充电桩</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品牌：旷视 型号：ICS4845B-A0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22680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58</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生产加工工位</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9040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59</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物料箱</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品牌：东晨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16</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60</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地面刻字划线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61</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布电布线</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型号：定制</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53000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62</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智慧生产物流管控系统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品牌：络捷斯特 型号：智慧生产管控系统 V1.0</w:t>
            </w:r>
          </w:p>
        </w:tc>
        <w:tc>
          <w:tcPr>
            <w:tcW w:w="572"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2</w:t>
            </w:r>
          </w:p>
        </w:tc>
        <w:tc>
          <w:tcPr>
            <w:tcW w:w="1465" w:type="dxa"/>
            <w:noWrap w:val="0"/>
            <w:vAlign w:val="center"/>
          </w:tcPr>
          <w:p>
            <w:pPr>
              <w:widowControl/>
              <w:jc w:val="center"/>
              <w:rPr>
                <w:rFonts w:hint="default" w:ascii="Times New Roman" w:hAnsi="Times New Roman" w:eastAsia="方正仿宋_GBK" w:cs="Times New Roman"/>
                <w:color w:val="auto"/>
                <w:u w:val="none"/>
              </w:rPr>
            </w:pPr>
            <w:r>
              <w:rPr>
                <w:rFonts w:hint="eastAsia" w:eastAsia="方正仿宋_GBK" w:cs="Times New Roman"/>
                <w:color w:val="auto"/>
                <w:u w:val="none"/>
                <w:lang w:val="en-US" w:eastAsia="zh-CN"/>
              </w:rPr>
              <w:t>2026.01</w:t>
            </w:r>
          </w:p>
        </w:tc>
        <w:tc>
          <w:tcPr>
            <w:tcW w:w="1310" w:type="dxa"/>
            <w:gridSpan w:val="2"/>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413920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9"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63</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新媒体营销实训系统</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品牌：博导前程型号：博星卓越新媒体营销实训平台V2.0</w:t>
            </w:r>
          </w:p>
        </w:tc>
        <w:tc>
          <w:tcPr>
            <w:tcW w:w="572" w:type="dxa"/>
            <w:gridSpan w:val="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2027.01</w:t>
            </w:r>
          </w:p>
        </w:tc>
        <w:tc>
          <w:tcPr>
            <w:tcW w:w="1310" w:type="dxa"/>
            <w:gridSpan w:val="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162700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6" w:hRule="atLeast"/>
          <w:jc w:val="center"/>
        </w:trPr>
        <w:tc>
          <w:tcPr>
            <w:tcW w:w="1056" w:type="dxa"/>
            <w:vMerge w:val="continue"/>
            <w:noWrap w:val="0"/>
            <w:vAlign w:val="center"/>
          </w:tcPr>
          <w:p>
            <w:pPr>
              <w:widowControl/>
              <w:jc w:val="center"/>
              <w:rPr>
                <w:rFonts w:hint="default" w:ascii="Times New Roman" w:hAnsi="Times New Roman" w:eastAsia="方正仿宋_GBK" w:cs="Times New Roman"/>
                <w:color w:val="auto"/>
                <w:u w:val="none"/>
              </w:rPr>
            </w:pPr>
          </w:p>
        </w:tc>
        <w:tc>
          <w:tcPr>
            <w:tcW w:w="876" w:type="dxa"/>
            <w:gridSpan w:val="2"/>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64</w:t>
            </w:r>
          </w:p>
        </w:tc>
        <w:tc>
          <w:tcPr>
            <w:tcW w:w="2282" w:type="dxa"/>
            <w:gridSpan w:val="3"/>
            <w:noWrap w:val="0"/>
            <w:vAlign w:val="center"/>
          </w:tcPr>
          <w:p>
            <w:pPr>
              <w:keepNext w:val="0"/>
              <w:keepLines w:val="0"/>
              <w:widowControl/>
              <w:suppressLineNumbers w:val="0"/>
              <w:jc w:val="center"/>
              <w:textAlignment w:val="center"/>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互联网+国际贸易综合技能实训与竞赛平台软件</w:t>
            </w:r>
          </w:p>
        </w:tc>
        <w:tc>
          <w:tcPr>
            <w:tcW w:w="2019" w:type="dxa"/>
            <w:gridSpan w:val="4"/>
            <w:noWrap w:val="0"/>
            <w:vAlign w:val="top"/>
          </w:tcPr>
          <w:p>
            <w:pPr>
              <w:keepNext w:val="0"/>
              <w:keepLines w:val="0"/>
              <w:widowControl/>
              <w:suppressLineNumbers w:val="0"/>
              <w:jc w:val="center"/>
              <w:textAlignment w:val="top"/>
              <w:rPr>
                <w:rFonts w:hint="default" w:ascii="Times New Roman" w:hAnsi="Times New Roman" w:eastAsia="方正仿宋_GBK" w:cs="Times New Roman"/>
                <w:color w:val="auto"/>
                <w:u w:val="none"/>
              </w:rPr>
            </w:pPr>
            <w:r>
              <w:rPr>
                <w:rFonts w:hint="eastAsia" w:ascii="宋体" w:hAnsi="宋体" w:eastAsia="宋体" w:cs="宋体"/>
                <w:i w:val="0"/>
                <w:iCs w:val="0"/>
                <w:color w:val="000000"/>
                <w:kern w:val="0"/>
                <w:sz w:val="21"/>
                <w:szCs w:val="21"/>
                <w:u w:val="none"/>
                <w:lang w:val="en-US" w:eastAsia="zh-CN" w:bidi="ar"/>
              </w:rPr>
              <w:t>品牌：世格型号：互联网+国际贸易综合技能实训与竞赛平台软件V2.0</w:t>
            </w:r>
          </w:p>
        </w:tc>
        <w:tc>
          <w:tcPr>
            <w:tcW w:w="572" w:type="dxa"/>
            <w:gridSpan w:val="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465" w:type="dxa"/>
            <w:noWrap w:val="0"/>
            <w:vAlign w:val="center"/>
          </w:tcPr>
          <w:p>
            <w:pPr>
              <w:widowControl/>
              <w:jc w:val="center"/>
              <w:rPr>
                <w:rFonts w:hint="default" w:ascii="Times New Roman" w:hAnsi="Times New Roman" w:eastAsia="方正仿宋_GBK" w:cs="Times New Roman"/>
                <w:color w:val="auto"/>
                <w:u w:val="none"/>
                <w:lang w:val="en-US" w:eastAsia="zh-CN"/>
              </w:rPr>
            </w:pPr>
            <w:r>
              <w:rPr>
                <w:rFonts w:hint="eastAsia" w:eastAsia="方正仿宋_GBK" w:cs="Times New Roman"/>
                <w:color w:val="auto"/>
                <w:u w:val="none"/>
                <w:lang w:val="en-US" w:eastAsia="zh-CN"/>
              </w:rPr>
              <w:t>2028.01</w:t>
            </w:r>
          </w:p>
        </w:tc>
        <w:tc>
          <w:tcPr>
            <w:tcW w:w="1310" w:type="dxa"/>
            <w:gridSpan w:val="2"/>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126000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306" w:hRule="atLeast"/>
          <w:jc w:val="center"/>
        </w:trPr>
        <w:tc>
          <w:tcPr>
            <w:tcW w:w="1398" w:type="dxa"/>
            <w:gridSpan w:val="2"/>
            <w:noWrap w:val="0"/>
            <w:vAlign w:val="center"/>
          </w:tcPr>
          <w:p>
            <w:pPr>
              <w:widowControl/>
              <w:jc w:val="both"/>
              <w:outlineLvl w:val="9"/>
              <w:rPr>
                <w:rFonts w:hint="default" w:ascii="Times New Roman" w:hAnsi="Times New Roman" w:eastAsia="方正仿宋_GBK" w:cs="Times New Roman"/>
                <w:color w:val="auto"/>
                <w:u w:val="none"/>
              </w:rPr>
            </w:pPr>
            <w:r>
              <w:rPr>
                <w:rFonts w:hint="default" w:ascii="Times New Roman" w:hAnsi="Times New Roman" w:eastAsia="方正仿宋_GBK" w:cs="Times New Roman"/>
                <w:color w:val="auto"/>
                <w:u w:val="none"/>
              </w:rPr>
              <w:t>专业实习实训基地情况</w:t>
            </w: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kern w:val="2"/>
                <w:sz w:val="21"/>
                <w:szCs w:val="24"/>
                <w:u w:val="none"/>
                <w:lang w:val="en-US" w:eastAsia="zh-CN" w:bidi="ar-SA"/>
              </w:rPr>
            </w:pPr>
            <w:r>
              <w:rPr>
                <w:rFonts w:hint="default" w:ascii="Times New Roman" w:hAnsi="Times New Roman" w:eastAsia="方正仿宋_GBK" w:cs="Times New Roman"/>
                <w:color w:val="auto"/>
                <w:u w:val="none"/>
              </w:rPr>
              <w:t>序号</w:t>
            </w:r>
          </w:p>
        </w:tc>
        <w:tc>
          <w:tcPr>
            <w:tcW w:w="1567" w:type="dxa"/>
            <w:noWrap w:val="0"/>
            <w:vAlign w:val="center"/>
          </w:tcPr>
          <w:p>
            <w:pPr>
              <w:widowControl/>
              <w:jc w:val="center"/>
              <w:outlineLvl w:val="9"/>
              <w:rPr>
                <w:rFonts w:hint="default" w:ascii="Times New Roman" w:hAnsi="Times New Roman" w:eastAsia="方正仿宋_GBK" w:cs="Times New Roman"/>
                <w:color w:val="auto"/>
                <w:kern w:val="2"/>
                <w:sz w:val="21"/>
                <w:szCs w:val="24"/>
                <w:u w:val="none"/>
                <w:lang w:val="en-US" w:eastAsia="zh-CN" w:bidi="ar-SA"/>
              </w:rPr>
            </w:pPr>
            <w:r>
              <w:rPr>
                <w:rFonts w:hint="default" w:ascii="Times New Roman" w:hAnsi="Times New Roman" w:eastAsia="方正仿宋_GBK" w:cs="Times New Roman"/>
                <w:color w:val="auto"/>
                <w:u w:val="none"/>
              </w:rPr>
              <w:t>实训基地名称</w:t>
            </w:r>
          </w:p>
        </w:tc>
        <w:tc>
          <w:tcPr>
            <w:tcW w:w="1445" w:type="dxa"/>
            <w:gridSpan w:val="3"/>
            <w:noWrap w:val="0"/>
            <w:vAlign w:val="center"/>
          </w:tcPr>
          <w:p>
            <w:pPr>
              <w:widowControl/>
              <w:jc w:val="center"/>
              <w:outlineLvl w:val="9"/>
              <w:rPr>
                <w:rFonts w:hint="default" w:ascii="Times New Roman" w:hAnsi="Times New Roman" w:eastAsia="方正仿宋_GBK" w:cs="Times New Roman"/>
                <w:color w:val="auto"/>
                <w:kern w:val="2"/>
                <w:sz w:val="21"/>
                <w:szCs w:val="24"/>
                <w:u w:val="none"/>
                <w:lang w:val="en-US" w:eastAsia="zh-CN" w:bidi="ar-SA"/>
              </w:rPr>
            </w:pPr>
            <w:r>
              <w:rPr>
                <w:rFonts w:hint="default" w:ascii="Times New Roman" w:hAnsi="Times New Roman" w:eastAsia="方正仿宋_GBK" w:cs="Times New Roman"/>
                <w:color w:val="auto"/>
                <w:u w:val="none"/>
              </w:rPr>
              <w:t>合作单位</w:t>
            </w:r>
          </w:p>
        </w:tc>
        <w:tc>
          <w:tcPr>
            <w:tcW w:w="1002" w:type="dxa"/>
            <w:noWrap w:val="0"/>
            <w:vAlign w:val="center"/>
          </w:tcPr>
          <w:p>
            <w:pPr>
              <w:widowControl/>
              <w:jc w:val="center"/>
              <w:outlineLvl w:val="9"/>
              <w:rPr>
                <w:rFonts w:hint="default" w:ascii="Times New Roman" w:hAnsi="Times New Roman" w:eastAsia="方正仿宋_GBK" w:cs="Times New Roman"/>
                <w:color w:val="auto"/>
                <w:kern w:val="2"/>
                <w:sz w:val="21"/>
                <w:szCs w:val="24"/>
                <w:u w:val="none"/>
                <w:lang w:val="en-US" w:eastAsia="zh-CN" w:bidi="ar-SA"/>
              </w:rPr>
            </w:pPr>
            <w:r>
              <w:rPr>
                <w:rFonts w:hint="default" w:ascii="Times New Roman" w:hAnsi="Times New Roman" w:eastAsia="方正仿宋_GBK" w:cs="Times New Roman"/>
                <w:color w:val="auto"/>
                <w:u w:val="none"/>
              </w:rPr>
              <w:t>校内/外</w:t>
            </w:r>
          </w:p>
        </w:tc>
        <w:tc>
          <w:tcPr>
            <w:tcW w:w="3244" w:type="dxa"/>
            <w:gridSpan w:val="5"/>
            <w:noWrap w:val="0"/>
            <w:vAlign w:val="center"/>
          </w:tcPr>
          <w:p>
            <w:pPr>
              <w:widowControl/>
              <w:jc w:val="center"/>
              <w:outlineLvl w:val="9"/>
              <w:rPr>
                <w:rFonts w:hint="default" w:ascii="Times New Roman" w:hAnsi="Times New Roman" w:eastAsia="方正仿宋_GBK" w:cs="Times New Roman"/>
                <w:color w:val="auto"/>
                <w:kern w:val="2"/>
                <w:sz w:val="21"/>
                <w:szCs w:val="24"/>
                <w:u w:val="none"/>
                <w:lang w:val="en-US" w:eastAsia="zh-CN" w:bidi="ar-SA"/>
              </w:rPr>
            </w:pPr>
            <w:r>
              <w:rPr>
                <w:rFonts w:hint="default" w:ascii="Times New Roman" w:hAnsi="Times New Roman" w:eastAsia="方正仿宋_GBK" w:cs="Times New Roman"/>
                <w:color w:val="auto"/>
                <w:u w:val="none"/>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525" w:hRule="atLeast"/>
          <w:jc w:val="center"/>
        </w:trPr>
        <w:tc>
          <w:tcPr>
            <w:tcW w:w="1398" w:type="dxa"/>
            <w:gridSpan w:val="2"/>
            <w:vMerge w:val="restart"/>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w:t>
            </w:r>
          </w:p>
        </w:tc>
        <w:tc>
          <w:tcPr>
            <w:tcW w:w="15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lang w:val="en-US" w:eastAsia="zh-CN"/>
              </w:rPr>
            </w:pPr>
            <w:r>
              <w:rPr>
                <w:rFonts w:hint="eastAsia" w:ascii="宋体" w:hAnsi="宋体" w:eastAsia="宋体" w:cs="宋体"/>
                <w:color w:val="auto"/>
                <w:sz w:val="21"/>
                <w:szCs w:val="21"/>
                <w:highlight w:val="none"/>
              </w:rPr>
              <w:t>跨境电商实训室</w:t>
            </w:r>
          </w:p>
        </w:tc>
        <w:tc>
          <w:tcPr>
            <w:tcW w:w="1445" w:type="dxa"/>
            <w:gridSpan w:val="3"/>
            <w:noWrap w:val="0"/>
            <w:vAlign w:val="center"/>
          </w:tcPr>
          <w:p>
            <w:pPr>
              <w:widowControl/>
              <w:jc w:val="center"/>
              <w:outlineLvl w:val="9"/>
              <w:rPr>
                <w:rFonts w:hint="eastAsia"/>
                <w:sz w:val="21"/>
                <w:szCs w:val="21"/>
                <w:lang w:val="en-US" w:eastAsia="zh-CN"/>
              </w:rPr>
            </w:pPr>
            <w:r>
              <w:rPr>
                <w:rFonts w:hint="eastAsia"/>
                <w:sz w:val="21"/>
                <w:szCs w:val="21"/>
                <w:lang w:val="en-US" w:eastAsia="zh-CN"/>
              </w:rPr>
              <w:t>新疆亚欧国际物资交易中心有限公司</w:t>
            </w:r>
          </w:p>
        </w:tc>
        <w:tc>
          <w:tcPr>
            <w:tcW w:w="1002" w:type="dxa"/>
            <w:noWrap w:val="0"/>
            <w:vAlign w:val="center"/>
          </w:tcPr>
          <w:p>
            <w:pPr>
              <w:widowControl/>
              <w:jc w:val="center"/>
              <w:outlineLvl w:val="9"/>
              <w:rPr>
                <w:rFonts w:hint="eastAsia"/>
                <w:sz w:val="21"/>
                <w:szCs w:val="21"/>
                <w:lang w:val="en-US" w:eastAsia="zh-CN"/>
              </w:rPr>
            </w:pPr>
            <w:r>
              <w:rPr>
                <w:rFonts w:hint="eastAsia"/>
                <w:sz w:val="21"/>
                <w:szCs w:val="21"/>
                <w:lang w:val="en-US" w:eastAsia="zh-CN"/>
              </w:rPr>
              <w:t>校内</w:t>
            </w:r>
          </w:p>
        </w:tc>
        <w:tc>
          <w:tcPr>
            <w:tcW w:w="324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ascii="宋体" w:hAnsi="宋体" w:eastAsia="宋体" w:cs="宋体"/>
                <w:color w:val="auto"/>
                <w:sz w:val="21"/>
                <w:szCs w:val="21"/>
                <w:highlight w:val="none"/>
              </w:rPr>
              <w:t>跨境店铺注册、跨境物流、海外市场调研、跨境选品和产品信息化、订单处理、发货、出境报检报关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282"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2</w:t>
            </w:r>
          </w:p>
        </w:tc>
        <w:tc>
          <w:tcPr>
            <w:tcW w:w="15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lang w:val="en-US" w:eastAsia="zh-CN"/>
              </w:rPr>
            </w:pPr>
            <w:r>
              <w:rPr>
                <w:rFonts w:hint="eastAsia" w:ascii="宋体" w:hAnsi="宋体" w:eastAsia="宋体" w:cs="宋体"/>
                <w:color w:val="auto"/>
                <w:sz w:val="21"/>
                <w:szCs w:val="21"/>
                <w:highlight w:val="none"/>
              </w:rPr>
              <w:t>创新创业实践基地</w:t>
            </w:r>
          </w:p>
        </w:tc>
        <w:tc>
          <w:tcPr>
            <w:tcW w:w="1445" w:type="dxa"/>
            <w:gridSpan w:val="3"/>
            <w:noWrap w:val="0"/>
            <w:vAlign w:val="center"/>
          </w:tcPr>
          <w:p>
            <w:pPr>
              <w:widowControl/>
              <w:jc w:val="center"/>
              <w:outlineLvl w:val="9"/>
              <w:rPr>
                <w:rFonts w:hint="eastAsia"/>
                <w:sz w:val="21"/>
                <w:szCs w:val="21"/>
                <w:lang w:val="en-US" w:eastAsia="zh-CN"/>
              </w:rPr>
            </w:pPr>
            <w:r>
              <w:rPr>
                <w:rFonts w:hint="eastAsia"/>
                <w:sz w:val="21"/>
                <w:szCs w:val="21"/>
                <w:lang w:val="en-US" w:eastAsia="zh-CN"/>
              </w:rPr>
              <w:t>新疆亚欧国际物资交易中心有限公司</w:t>
            </w:r>
          </w:p>
        </w:tc>
        <w:tc>
          <w:tcPr>
            <w:tcW w:w="1002" w:type="dxa"/>
            <w:noWrap w:val="0"/>
            <w:vAlign w:val="center"/>
          </w:tcPr>
          <w:p>
            <w:pPr>
              <w:widowControl/>
              <w:jc w:val="center"/>
              <w:outlineLvl w:val="9"/>
              <w:rPr>
                <w:rFonts w:hint="eastAsia"/>
                <w:sz w:val="21"/>
                <w:szCs w:val="21"/>
                <w:lang w:val="en-US" w:eastAsia="zh-CN"/>
              </w:rPr>
            </w:pPr>
            <w:r>
              <w:rPr>
                <w:rFonts w:hint="eastAsia"/>
                <w:sz w:val="21"/>
                <w:szCs w:val="21"/>
                <w:lang w:val="en-US" w:eastAsia="zh-CN"/>
              </w:rPr>
              <w:t>校内</w:t>
            </w:r>
          </w:p>
        </w:tc>
        <w:tc>
          <w:tcPr>
            <w:tcW w:w="324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ascii="宋体" w:hAnsi="宋体" w:eastAsia="宋体" w:cs="宋体"/>
                <w:color w:val="auto"/>
                <w:sz w:val="21"/>
                <w:szCs w:val="21"/>
                <w:highlight w:val="none"/>
              </w:rPr>
              <w:t>技能大赛承办、培养学生创新创业意识，服务小微企业转型升级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525"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3</w:t>
            </w:r>
          </w:p>
        </w:tc>
        <w:tc>
          <w:tcPr>
            <w:tcW w:w="15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lang w:val="en-US" w:eastAsia="zh-CN"/>
              </w:rPr>
            </w:pPr>
            <w:r>
              <w:rPr>
                <w:rFonts w:hint="eastAsia" w:ascii="宋体" w:hAnsi="宋体" w:cs="宋体"/>
                <w:color w:val="auto"/>
                <w:kern w:val="2"/>
                <w:sz w:val="21"/>
                <w:szCs w:val="21"/>
                <w:highlight w:val="none"/>
                <w:lang w:val="en-US" w:eastAsia="zh-CN" w:bidi="ar-SA"/>
              </w:rPr>
              <w:t>电商选品实训室</w:t>
            </w:r>
          </w:p>
        </w:tc>
        <w:tc>
          <w:tcPr>
            <w:tcW w:w="1445" w:type="dxa"/>
            <w:gridSpan w:val="3"/>
            <w:noWrap w:val="0"/>
            <w:vAlign w:val="center"/>
          </w:tcPr>
          <w:p>
            <w:pPr>
              <w:widowControl/>
              <w:jc w:val="center"/>
              <w:outlineLvl w:val="9"/>
              <w:rPr>
                <w:rFonts w:hint="default"/>
                <w:sz w:val="21"/>
                <w:szCs w:val="21"/>
                <w:lang w:val="en-US" w:eastAsia="zh-CN"/>
              </w:rPr>
            </w:pPr>
            <w:r>
              <w:rPr>
                <w:rFonts w:hint="eastAsia"/>
                <w:sz w:val="21"/>
                <w:szCs w:val="21"/>
                <w:lang w:val="en-US" w:eastAsia="zh-CN"/>
              </w:rPr>
              <w:t>阿里巴巴天猫校园</w:t>
            </w:r>
          </w:p>
        </w:tc>
        <w:tc>
          <w:tcPr>
            <w:tcW w:w="1002" w:type="dxa"/>
            <w:noWrap w:val="0"/>
            <w:vAlign w:val="center"/>
          </w:tcPr>
          <w:p>
            <w:pPr>
              <w:widowControl/>
              <w:jc w:val="center"/>
              <w:outlineLvl w:val="9"/>
              <w:rPr>
                <w:rFonts w:hint="eastAsia"/>
                <w:sz w:val="21"/>
                <w:szCs w:val="21"/>
                <w:lang w:val="en-US" w:eastAsia="zh-CN"/>
              </w:rPr>
            </w:pPr>
            <w:r>
              <w:rPr>
                <w:rFonts w:hint="eastAsia"/>
                <w:sz w:val="21"/>
                <w:szCs w:val="21"/>
                <w:lang w:val="en-US" w:eastAsia="zh-CN"/>
              </w:rPr>
              <w:t>校内</w:t>
            </w:r>
          </w:p>
        </w:tc>
        <w:tc>
          <w:tcPr>
            <w:tcW w:w="324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ascii="宋体" w:hAnsi="宋体" w:eastAsia="宋体" w:cs="宋体"/>
                <w:color w:val="auto"/>
                <w:sz w:val="21"/>
                <w:szCs w:val="21"/>
                <w:highlight w:val="none"/>
              </w:rPr>
              <w:t>让学生掌握电商</w:t>
            </w:r>
            <w:r>
              <w:rPr>
                <w:rFonts w:hint="eastAsia" w:ascii="宋体" w:hAnsi="宋体" w:cs="宋体"/>
                <w:color w:val="auto"/>
                <w:sz w:val="21"/>
                <w:szCs w:val="21"/>
                <w:highlight w:val="none"/>
                <w:lang w:eastAsia="zh-CN"/>
              </w:rPr>
              <w:t>选品</w:t>
            </w:r>
            <w:r>
              <w:rPr>
                <w:rFonts w:hint="eastAsia" w:ascii="宋体" w:hAnsi="宋体" w:eastAsia="宋体" w:cs="宋体"/>
                <w:color w:val="auto"/>
                <w:sz w:val="21"/>
                <w:szCs w:val="21"/>
                <w:highlight w:val="none"/>
              </w:rPr>
              <w:t>方面的技术技能，提升人才培养质量，更好地服务于区域经济发展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282"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4</w:t>
            </w:r>
          </w:p>
        </w:tc>
        <w:tc>
          <w:tcPr>
            <w:tcW w:w="15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lang w:val="en-US" w:eastAsia="zh-CN"/>
              </w:rPr>
            </w:pPr>
            <w:r>
              <w:rPr>
                <w:rFonts w:hint="eastAsia" w:ascii="宋体" w:hAnsi="宋体" w:eastAsia="宋体" w:cs="宋体"/>
                <w:color w:val="auto"/>
                <w:sz w:val="21"/>
                <w:szCs w:val="21"/>
                <w:highlight w:val="none"/>
              </w:rPr>
              <w:t>直播电商运营实训室</w:t>
            </w:r>
          </w:p>
        </w:tc>
        <w:tc>
          <w:tcPr>
            <w:tcW w:w="1445" w:type="dxa"/>
            <w:gridSpan w:val="3"/>
            <w:noWrap w:val="0"/>
            <w:vAlign w:val="center"/>
          </w:tcPr>
          <w:p>
            <w:pPr>
              <w:widowControl/>
              <w:jc w:val="center"/>
              <w:outlineLvl w:val="9"/>
              <w:rPr>
                <w:rFonts w:hint="eastAsia"/>
                <w:sz w:val="21"/>
                <w:szCs w:val="21"/>
                <w:lang w:val="en-US" w:eastAsia="zh-CN"/>
              </w:rPr>
            </w:pPr>
            <w:r>
              <w:rPr>
                <w:rFonts w:hint="eastAsia"/>
                <w:sz w:val="21"/>
                <w:szCs w:val="21"/>
                <w:lang w:val="en-US" w:eastAsia="zh-CN"/>
              </w:rPr>
              <w:t>阿里巴巴天猫校园</w:t>
            </w:r>
          </w:p>
        </w:tc>
        <w:tc>
          <w:tcPr>
            <w:tcW w:w="1002" w:type="dxa"/>
            <w:noWrap w:val="0"/>
            <w:vAlign w:val="center"/>
          </w:tcPr>
          <w:p>
            <w:pPr>
              <w:widowControl/>
              <w:jc w:val="center"/>
              <w:outlineLvl w:val="9"/>
              <w:rPr>
                <w:rFonts w:hint="eastAsia"/>
                <w:sz w:val="21"/>
                <w:szCs w:val="21"/>
                <w:lang w:val="en-US" w:eastAsia="zh-CN"/>
              </w:rPr>
            </w:pPr>
            <w:r>
              <w:rPr>
                <w:rFonts w:hint="eastAsia"/>
                <w:sz w:val="21"/>
                <w:szCs w:val="21"/>
                <w:lang w:val="en-US" w:eastAsia="zh-CN"/>
              </w:rPr>
              <w:t>校内</w:t>
            </w:r>
          </w:p>
        </w:tc>
        <w:tc>
          <w:tcPr>
            <w:tcW w:w="324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ascii="宋体" w:hAnsi="宋体" w:cs="宋体"/>
                <w:color w:val="auto"/>
                <w:sz w:val="21"/>
                <w:szCs w:val="21"/>
                <w:highlight w:val="none"/>
                <w:lang w:eastAsia="zh-CN"/>
              </w:rPr>
              <w:t>开展</w:t>
            </w:r>
            <w:r>
              <w:rPr>
                <w:rFonts w:hint="eastAsia" w:ascii="宋体" w:hAnsi="宋体" w:eastAsia="宋体" w:cs="宋体"/>
                <w:color w:val="auto"/>
                <w:sz w:val="21"/>
                <w:szCs w:val="21"/>
                <w:highlight w:val="none"/>
              </w:rPr>
              <w:t>短视频策划</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短视频拍摄</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短视频编辑</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渠道变现等</w:t>
            </w:r>
            <w:r>
              <w:rPr>
                <w:rFonts w:hint="eastAsia" w:ascii="宋体" w:hAnsi="宋体" w:cs="宋体"/>
                <w:color w:val="auto"/>
                <w:sz w:val="21"/>
                <w:szCs w:val="21"/>
                <w:highlight w:val="none"/>
                <w:lang w:eastAsia="zh-CN"/>
              </w:rPr>
              <w:t>实训内容，让学生掌握短视频、直播电商运营方面的技术技能</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525"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5</w:t>
            </w:r>
          </w:p>
        </w:tc>
        <w:tc>
          <w:tcPr>
            <w:tcW w:w="15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lang w:val="en-US" w:eastAsia="zh-CN"/>
              </w:rPr>
            </w:pPr>
            <w:r>
              <w:rPr>
                <w:rFonts w:hint="eastAsia" w:ascii="宋体" w:hAnsi="宋体" w:eastAsia="宋体" w:cs="宋体"/>
                <w:color w:val="auto"/>
                <w:kern w:val="2"/>
                <w:sz w:val="21"/>
                <w:szCs w:val="21"/>
                <w:highlight w:val="none"/>
                <w:lang w:val="en-US" w:eastAsia="zh-CN" w:bidi="ar-SA"/>
              </w:rPr>
              <w:t>新零售中心</w:t>
            </w:r>
          </w:p>
        </w:tc>
        <w:tc>
          <w:tcPr>
            <w:tcW w:w="1445" w:type="dxa"/>
            <w:gridSpan w:val="3"/>
            <w:noWrap w:val="0"/>
            <w:vAlign w:val="center"/>
          </w:tcPr>
          <w:p>
            <w:pPr>
              <w:widowControl/>
              <w:jc w:val="center"/>
              <w:outlineLvl w:val="9"/>
              <w:rPr>
                <w:rFonts w:hint="eastAsia"/>
                <w:sz w:val="21"/>
                <w:szCs w:val="21"/>
                <w:lang w:val="en-US" w:eastAsia="zh-CN"/>
              </w:rPr>
            </w:pPr>
            <w:r>
              <w:rPr>
                <w:rFonts w:hint="eastAsia"/>
                <w:sz w:val="21"/>
                <w:szCs w:val="21"/>
                <w:lang w:val="en-US" w:eastAsia="zh-CN"/>
              </w:rPr>
              <w:t>阿里巴巴天猫校园</w:t>
            </w:r>
          </w:p>
        </w:tc>
        <w:tc>
          <w:tcPr>
            <w:tcW w:w="1002" w:type="dxa"/>
            <w:noWrap w:val="0"/>
            <w:vAlign w:val="center"/>
          </w:tcPr>
          <w:p>
            <w:pPr>
              <w:widowControl/>
              <w:jc w:val="center"/>
              <w:outlineLvl w:val="9"/>
              <w:rPr>
                <w:rFonts w:hint="eastAsia"/>
                <w:sz w:val="21"/>
                <w:szCs w:val="21"/>
                <w:lang w:val="en-US" w:eastAsia="zh-CN"/>
              </w:rPr>
            </w:pPr>
            <w:r>
              <w:rPr>
                <w:rFonts w:hint="eastAsia"/>
                <w:sz w:val="21"/>
                <w:szCs w:val="21"/>
                <w:lang w:val="en-US" w:eastAsia="zh-CN"/>
              </w:rPr>
              <w:t>校内</w:t>
            </w:r>
          </w:p>
        </w:tc>
        <w:tc>
          <w:tcPr>
            <w:tcW w:w="3244" w:type="dxa"/>
            <w:gridSpan w:val="5"/>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outlineLvl w:val="9"/>
              <w:rPr>
                <w:rFonts w:hint="eastAsia"/>
                <w:sz w:val="21"/>
                <w:szCs w:val="21"/>
              </w:rPr>
            </w:pPr>
            <w:r>
              <w:rPr>
                <w:rFonts w:hint="eastAsia" w:ascii="宋体" w:hAnsi="宋体" w:eastAsia="宋体" w:cs="宋体"/>
                <w:color w:val="auto"/>
                <w:kern w:val="2"/>
                <w:sz w:val="21"/>
                <w:szCs w:val="21"/>
                <w:highlight w:val="none"/>
                <w:lang w:val="en-US" w:eastAsia="zh-CN" w:bidi="ar-SA"/>
              </w:rPr>
              <w:t>开展市场营销、新媒体营销、直播运营等课程，让学生掌握新零售专业技能。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6</w:t>
            </w:r>
          </w:p>
        </w:tc>
        <w:tc>
          <w:tcPr>
            <w:tcW w:w="1567" w:type="dxa"/>
            <w:noWrap w:val="0"/>
            <w:vAlign w:val="center"/>
          </w:tcPr>
          <w:p>
            <w:pPr>
              <w:widowControl/>
              <w:jc w:val="center"/>
              <w:outlineLvl w:val="9"/>
              <w:rPr>
                <w:rFonts w:hint="eastAsia" w:ascii="Times New Roman" w:hAnsi="Times New Roman" w:eastAsia="方正仿宋_GBK" w:cs="Times New Roman"/>
                <w:color w:val="auto"/>
                <w:kern w:val="2"/>
                <w:sz w:val="21"/>
                <w:szCs w:val="21"/>
                <w:u w:val="none"/>
                <w:lang w:val="en-US" w:eastAsia="zh-CN" w:bidi="ar-SA"/>
              </w:rPr>
            </w:pPr>
            <w:r>
              <w:rPr>
                <w:rFonts w:hint="eastAsia"/>
                <w:sz w:val="21"/>
                <w:szCs w:val="21"/>
              </w:rPr>
              <w:t>新疆瑞航国际货运代理有限公司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ascii="Times New Roman" w:hAnsi="Times New Roman" w:eastAsia="方正仿宋_GBK" w:cs="Times New Roman"/>
                <w:color w:val="auto"/>
                <w:kern w:val="2"/>
                <w:sz w:val="21"/>
                <w:szCs w:val="21"/>
                <w:u w:val="none"/>
                <w:lang w:val="en-US" w:eastAsia="zh-CN" w:bidi="ar-SA"/>
              </w:rPr>
            </w:pPr>
            <w:r>
              <w:rPr>
                <w:rFonts w:hint="eastAsia"/>
                <w:sz w:val="21"/>
                <w:szCs w:val="21"/>
              </w:rPr>
              <w:t>新疆瑞航国际货运代理有限公司</w:t>
            </w:r>
          </w:p>
        </w:tc>
        <w:tc>
          <w:tcPr>
            <w:tcW w:w="1002" w:type="dxa"/>
            <w:noWrap w:val="0"/>
            <w:vAlign w:val="center"/>
          </w:tcPr>
          <w:p>
            <w:pPr>
              <w:widowControl/>
              <w:jc w:val="center"/>
              <w:outlineLvl w:val="9"/>
              <w:rPr>
                <w:rFonts w:hint="eastAsia" w:ascii="Times New Roman" w:hAnsi="Times New Roman" w:eastAsia="方正仿宋_GBK" w:cs="Times New Roman"/>
                <w:color w:val="auto"/>
                <w:kern w:val="2"/>
                <w:sz w:val="21"/>
                <w:szCs w:val="21"/>
                <w:u w:val="none"/>
                <w:lang w:val="zh-CN" w:eastAsia="zh-CN" w:bidi="ar-SA"/>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Times New Roman" w:hAnsi="Times New Roman" w:eastAsia="方正仿宋_GBK" w:cs="Times New Roman"/>
                <w:color w:val="auto"/>
                <w:kern w:val="2"/>
                <w:sz w:val="21"/>
                <w:szCs w:val="21"/>
                <w:u w:val="none"/>
                <w:lang w:val="en-US" w:eastAsia="zh-CN" w:bidi="ar-SA"/>
              </w:rPr>
            </w:pPr>
            <w:r>
              <w:rPr>
                <w:rFonts w:hint="eastAsia" w:ascii="宋体" w:hAnsi="宋体" w:eastAsia="宋体" w:cs="宋体"/>
                <w:sz w:val="21"/>
                <w:szCs w:val="21"/>
              </w:rPr>
              <w:t>国际物流，报关，冷藏运输，危险品运输，大件设备，海运，班列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7</w:t>
            </w:r>
          </w:p>
        </w:tc>
        <w:tc>
          <w:tcPr>
            <w:tcW w:w="1567" w:type="dxa"/>
            <w:noWrap w:val="0"/>
            <w:vAlign w:val="center"/>
          </w:tcPr>
          <w:p>
            <w:pPr>
              <w:widowControl/>
              <w:jc w:val="center"/>
              <w:outlineLvl w:val="9"/>
              <w:rPr>
                <w:rFonts w:hint="eastAsia"/>
                <w:sz w:val="21"/>
                <w:szCs w:val="21"/>
              </w:rPr>
            </w:pPr>
            <w:r>
              <w:rPr>
                <w:rFonts w:hint="eastAsia"/>
                <w:sz w:val="21"/>
                <w:szCs w:val="21"/>
                <w:lang w:val="en-US" w:eastAsia="zh-CN"/>
              </w:rPr>
              <w:t>新疆奎屯瑞豪电商产业园实训基地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lang w:val="en-US" w:eastAsia="zh-CN"/>
              </w:rPr>
              <w:t>新疆奎屯瑞豪电商产业园</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jc w:val="center"/>
              <w:outlineLvl w:val="9"/>
              <w:rPr>
                <w:rFonts w:hint="eastAsia" w:ascii="宋体" w:hAnsi="宋体" w:eastAsia="宋体" w:cs="宋体"/>
                <w:sz w:val="21"/>
                <w:szCs w:val="21"/>
              </w:rPr>
            </w:pPr>
            <w:r>
              <w:rPr>
                <w:rFonts w:hint="eastAsia" w:ascii="宋体" w:hAnsi="宋体" w:eastAsia="宋体" w:cs="宋体"/>
                <w:sz w:val="21"/>
                <w:szCs w:val="21"/>
              </w:rPr>
              <w:t>国际物流，</w:t>
            </w:r>
            <w:r>
              <w:rPr>
                <w:rFonts w:hint="eastAsia" w:ascii="宋体" w:hAnsi="宋体" w:eastAsia="宋体" w:cs="宋体"/>
                <w:sz w:val="21"/>
                <w:szCs w:val="21"/>
                <w:lang w:val="en-US" w:eastAsia="zh-CN"/>
              </w:rPr>
              <w:t>电子商务、</w:t>
            </w:r>
            <w:r>
              <w:rPr>
                <w:rFonts w:hint="eastAsia" w:ascii="宋体" w:hAnsi="宋体" w:eastAsia="宋体" w:cs="宋体"/>
                <w:sz w:val="21"/>
                <w:szCs w:val="21"/>
              </w:rPr>
              <w:t>报关，</w:t>
            </w:r>
          </w:p>
          <w:p>
            <w:pPr>
              <w:widowControl/>
              <w:jc w:val="center"/>
              <w:outlineLvl w:val="9"/>
              <w:rPr>
                <w:rFonts w:hint="eastAsia" w:ascii="宋体" w:hAnsi="宋体" w:eastAsia="宋体" w:cs="宋体"/>
                <w:sz w:val="21"/>
                <w:szCs w:val="21"/>
              </w:rPr>
            </w:pPr>
            <w:r>
              <w:rPr>
                <w:rFonts w:hint="eastAsia" w:ascii="宋体" w:hAnsi="宋体" w:eastAsia="宋体" w:cs="宋体"/>
                <w:sz w:val="21"/>
                <w:szCs w:val="21"/>
              </w:rPr>
              <w:t>冷藏运输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271"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8</w:t>
            </w:r>
          </w:p>
        </w:tc>
        <w:tc>
          <w:tcPr>
            <w:tcW w:w="1567" w:type="dxa"/>
            <w:noWrap w:val="0"/>
            <w:vAlign w:val="center"/>
          </w:tcPr>
          <w:p>
            <w:pPr>
              <w:widowControl/>
              <w:jc w:val="center"/>
              <w:outlineLvl w:val="9"/>
              <w:rPr>
                <w:rFonts w:hint="eastAsia"/>
                <w:sz w:val="21"/>
                <w:szCs w:val="21"/>
              </w:rPr>
            </w:pPr>
            <w:r>
              <w:rPr>
                <w:rFonts w:hint="eastAsia"/>
                <w:sz w:val="21"/>
                <w:szCs w:val="21"/>
                <w:lang w:val="en-US" w:eastAsia="zh-CN"/>
              </w:rPr>
              <w:t>菜鸟驿站新疆公司实训基地</w:t>
            </w:r>
          </w:p>
        </w:tc>
        <w:tc>
          <w:tcPr>
            <w:tcW w:w="1445" w:type="dxa"/>
            <w:gridSpan w:val="3"/>
            <w:noWrap w:val="0"/>
            <w:vAlign w:val="center"/>
          </w:tcPr>
          <w:p>
            <w:pPr>
              <w:widowControl/>
              <w:jc w:val="center"/>
              <w:outlineLvl w:val="9"/>
              <w:rPr>
                <w:rFonts w:hint="eastAsia"/>
                <w:sz w:val="21"/>
                <w:szCs w:val="21"/>
              </w:rPr>
            </w:pPr>
            <w:r>
              <w:rPr>
                <w:rFonts w:hint="eastAsia"/>
                <w:color w:val="auto"/>
                <w:sz w:val="21"/>
                <w:szCs w:val="21"/>
                <w:highlight w:val="none"/>
                <w:lang w:val="en-US" w:eastAsia="zh-CN"/>
              </w:rPr>
              <w:t>浙江驿栈网络科技有限公司实</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ascii="宋体" w:hAnsi="宋体" w:eastAsia="宋体" w:cs="宋体"/>
                <w:sz w:val="21"/>
                <w:szCs w:val="21"/>
              </w:rPr>
              <w:t>用最低成本、在最准确时间，向市场提供合理的柔性化产品和服务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9</w:t>
            </w:r>
          </w:p>
        </w:tc>
        <w:tc>
          <w:tcPr>
            <w:tcW w:w="1567" w:type="dxa"/>
            <w:noWrap w:val="0"/>
            <w:vAlign w:val="center"/>
          </w:tcPr>
          <w:p>
            <w:pPr>
              <w:widowControl/>
              <w:jc w:val="center"/>
              <w:outlineLvl w:val="9"/>
              <w:rPr>
                <w:rFonts w:hint="eastAsia"/>
                <w:sz w:val="21"/>
                <w:szCs w:val="21"/>
              </w:rPr>
            </w:pPr>
            <w:r>
              <w:rPr>
                <w:rFonts w:hint="eastAsia"/>
                <w:sz w:val="21"/>
                <w:szCs w:val="21"/>
              </w:rPr>
              <w:t>新疆丝路通物流有限公司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新疆丝路通物流有限公司</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rPr>
              <w:t>快递</w:t>
            </w:r>
            <w:r>
              <w:rPr>
                <w:rFonts w:hint="eastAsia"/>
                <w:sz w:val="21"/>
                <w:szCs w:val="21"/>
                <w:lang w:eastAsia="zh-CN"/>
              </w:rPr>
              <w:t>，</w:t>
            </w:r>
            <w:r>
              <w:rPr>
                <w:rFonts w:hint="eastAsia"/>
                <w:sz w:val="21"/>
                <w:szCs w:val="21"/>
              </w:rPr>
              <w:t>物流</w:t>
            </w:r>
            <w:r>
              <w:rPr>
                <w:rFonts w:hint="eastAsia"/>
                <w:sz w:val="21"/>
                <w:szCs w:val="21"/>
                <w:lang w:eastAsia="zh-CN"/>
              </w:rPr>
              <w:t>，</w:t>
            </w:r>
            <w:r>
              <w:rPr>
                <w:rFonts w:hint="eastAsia"/>
                <w:sz w:val="21"/>
                <w:szCs w:val="21"/>
              </w:rPr>
              <w:t>电子产品</w:t>
            </w:r>
            <w:r>
              <w:rPr>
                <w:rFonts w:hint="eastAsia"/>
                <w:sz w:val="21"/>
                <w:szCs w:val="21"/>
                <w:lang w:eastAsia="zh-CN"/>
              </w:rPr>
              <w:t>，</w:t>
            </w:r>
            <w:r>
              <w:rPr>
                <w:rFonts w:hint="eastAsia"/>
                <w:sz w:val="21"/>
                <w:szCs w:val="21"/>
              </w:rPr>
              <w:t>通讯器材</w:t>
            </w:r>
            <w:r>
              <w:rPr>
                <w:rFonts w:hint="eastAsia"/>
                <w:sz w:val="21"/>
                <w:szCs w:val="21"/>
                <w:lang w:eastAsia="zh-CN"/>
              </w:rPr>
              <w:t>，</w:t>
            </w:r>
            <w:r>
              <w:rPr>
                <w:rFonts w:hint="eastAsia"/>
                <w:sz w:val="21"/>
                <w:szCs w:val="21"/>
              </w:rPr>
              <w:t>计算机产品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10</w:t>
            </w:r>
          </w:p>
        </w:tc>
        <w:tc>
          <w:tcPr>
            <w:tcW w:w="1567" w:type="dxa"/>
            <w:noWrap w:val="0"/>
            <w:vAlign w:val="center"/>
          </w:tcPr>
          <w:p>
            <w:pPr>
              <w:widowControl/>
              <w:jc w:val="center"/>
              <w:outlineLvl w:val="9"/>
              <w:rPr>
                <w:rFonts w:hint="eastAsia"/>
                <w:sz w:val="21"/>
                <w:szCs w:val="21"/>
              </w:rPr>
            </w:pPr>
            <w:r>
              <w:rPr>
                <w:rFonts w:hint="eastAsia"/>
                <w:sz w:val="21"/>
                <w:szCs w:val="21"/>
              </w:rPr>
              <w:t>新九物流</w:t>
            </w:r>
            <w:r>
              <w:rPr>
                <w:rFonts w:hint="eastAsia"/>
                <w:sz w:val="21"/>
                <w:szCs w:val="21"/>
                <w:lang w:eastAsia="zh-CN"/>
              </w:rPr>
              <w:t>有限责任公司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新九物流</w:t>
            </w:r>
            <w:r>
              <w:rPr>
                <w:rFonts w:hint="eastAsia"/>
                <w:sz w:val="21"/>
                <w:szCs w:val="21"/>
                <w:lang w:eastAsia="zh-CN"/>
              </w:rPr>
              <w:t>有限责任公司</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rPr>
              <w:t>用最低成本、在最准确时间，向市场提供合理的柔性化产品和服务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11</w:t>
            </w:r>
          </w:p>
        </w:tc>
        <w:tc>
          <w:tcPr>
            <w:tcW w:w="1567" w:type="dxa"/>
            <w:noWrap w:val="0"/>
            <w:vAlign w:val="center"/>
          </w:tcPr>
          <w:p>
            <w:pPr>
              <w:widowControl/>
              <w:jc w:val="center"/>
              <w:outlineLvl w:val="9"/>
              <w:rPr>
                <w:rFonts w:hint="eastAsia"/>
                <w:sz w:val="21"/>
                <w:szCs w:val="21"/>
              </w:rPr>
            </w:pPr>
            <w:r>
              <w:rPr>
                <w:rFonts w:hint="eastAsia"/>
                <w:sz w:val="21"/>
                <w:szCs w:val="21"/>
              </w:rPr>
              <w:t>奎屯新亚科工贸有限公司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奎屯新亚科工贸有限公司</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rPr>
              <w:t>负责供应商开发、谈判、供应商管理、日常的需求预测补货采购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12</w:t>
            </w:r>
          </w:p>
        </w:tc>
        <w:tc>
          <w:tcPr>
            <w:tcW w:w="1567" w:type="dxa"/>
            <w:noWrap w:val="0"/>
            <w:vAlign w:val="center"/>
          </w:tcPr>
          <w:p>
            <w:pPr>
              <w:widowControl/>
              <w:jc w:val="center"/>
              <w:outlineLvl w:val="9"/>
              <w:rPr>
                <w:rFonts w:hint="eastAsia"/>
                <w:sz w:val="21"/>
                <w:szCs w:val="21"/>
              </w:rPr>
            </w:pPr>
            <w:r>
              <w:rPr>
                <w:rFonts w:hint="eastAsia"/>
                <w:sz w:val="21"/>
                <w:szCs w:val="21"/>
              </w:rPr>
              <w:t>伊犁国瑞会计税务事务所</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伊犁国瑞会计税务事务所</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lang w:val="en-US" w:eastAsia="zh-CN"/>
              </w:rPr>
              <w:t>供应链金融、跨境结算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13</w:t>
            </w:r>
          </w:p>
        </w:tc>
        <w:tc>
          <w:tcPr>
            <w:tcW w:w="1567" w:type="dxa"/>
            <w:noWrap w:val="0"/>
            <w:vAlign w:val="center"/>
          </w:tcPr>
          <w:p>
            <w:pPr>
              <w:widowControl/>
              <w:jc w:val="center"/>
              <w:outlineLvl w:val="9"/>
              <w:rPr>
                <w:rFonts w:hint="eastAsia"/>
                <w:sz w:val="21"/>
                <w:szCs w:val="21"/>
              </w:rPr>
            </w:pPr>
            <w:r>
              <w:rPr>
                <w:rFonts w:hint="eastAsia"/>
                <w:sz w:val="21"/>
                <w:szCs w:val="21"/>
              </w:rPr>
              <w:t>奎屯九州通医药公司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奎屯九州通医药公司</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rPr>
              <w:t>负责供应商开发、谈判、供应商管理、日常的需求预测补货采购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14</w:t>
            </w:r>
          </w:p>
        </w:tc>
        <w:tc>
          <w:tcPr>
            <w:tcW w:w="1567" w:type="dxa"/>
            <w:noWrap w:val="0"/>
            <w:vAlign w:val="center"/>
          </w:tcPr>
          <w:p>
            <w:pPr>
              <w:widowControl/>
              <w:jc w:val="center"/>
              <w:outlineLvl w:val="9"/>
              <w:rPr>
                <w:rFonts w:hint="eastAsia"/>
                <w:sz w:val="21"/>
                <w:szCs w:val="21"/>
              </w:rPr>
            </w:pPr>
            <w:r>
              <w:rPr>
                <w:rFonts w:hint="eastAsia"/>
                <w:sz w:val="21"/>
                <w:szCs w:val="21"/>
              </w:rPr>
              <w:t>1号阿拉山口报关行</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1号阿拉山口报关行</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sz w:val="21"/>
                <w:szCs w:val="21"/>
              </w:rPr>
              <w:t>报关报检、跨境物流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404"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15</w:t>
            </w:r>
          </w:p>
        </w:tc>
        <w:tc>
          <w:tcPr>
            <w:tcW w:w="1567" w:type="dxa"/>
            <w:noWrap w:val="0"/>
            <w:vAlign w:val="center"/>
          </w:tcPr>
          <w:p>
            <w:pPr>
              <w:widowControl/>
              <w:jc w:val="center"/>
              <w:outlineLvl w:val="9"/>
              <w:rPr>
                <w:rFonts w:hint="eastAsia"/>
                <w:sz w:val="21"/>
                <w:szCs w:val="21"/>
              </w:rPr>
            </w:pPr>
            <w:r>
              <w:rPr>
                <w:rFonts w:hint="eastAsia"/>
                <w:sz w:val="21"/>
                <w:szCs w:val="21"/>
              </w:rPr>
              <w:t>霍尔果斯国际物流中心</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霍尔果斯国际物流中心</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ascii="宋体" w:hAnsi="宋体" w:eastAsia="宋体" w:cs="宋体"/>
                <w:sz w:val="21"/>
                <w:szCs w:val="21"/>
              </w:rPr>
              <w:t>负责渠道拓展、渠道客户的维护工作，品牌的推广工作，递延收益、应收账款相关管理工作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24" w:type="dxa"/>
          <w:cantSplit/>
          <w:trHeight w:val="1401" w:hRule="atLeast"/>
          <w:jc w:val="center"/>
        </w:trPr>
        <w:tc>
          <w:tcPr>
            <w:tcW w:w="1398" w:type="dxa"/>
            <w:gridSpan w:val="2"/>
            <w:vMerge w:val="continue"/>
            <w:noWrap w:val="0"/>
            <w:vAlign w:val="center"/>
          </w:tcPr>
          <w:p>
            <w:pPr>
              <w:widowControl/>
              <w:jc w:val="center"/>
              <w:outlineLvl w:val="9"/>
              <w:rPr>
                <w:rFonts w:hint="default" w:ascii="Times New Roman" w:hAnsi="Times New Roman" w:eastAsia="方正仿宋_GBK" w:cs="Times New Roman"/>
                <w:color w:val="auto"/>
                <w:u w:val="none"/>
              </w:rPr>
            </w:pPr>
          </w:p>
        </w:tc>
        <w:tc>
          <w:tcPr>
            <w:tcW w:w="800" w:type="dxa"/>
            <w:gridSpan w:val="2"/>
            <w:noWrap w:val="0"/>
            <w:vAlign w:val="center"/>
          </w:tcPr>
          <w:p>
            <w:pPr>
              <w:widowControl/>
              <w:jc w:val="center"/>
              <w:outlineLvl w:val="9"/>
              <w:rPr>
                <w:rFonts w:hint="default" w:ascii="Times New Roman" w:hAnsi="Times New Roman" w:eastAsia="方正仿宋_GBK" w:cs="Times New Roman"/>
                <w:color w:val="auto"/>
                <w:sz w:val="21"/>
                <w:szCs w:val="21"/>
                <w:u w:val="none"/>
                <w:lang w:val="en-US" w:eastAsia="zh-CN"/>
              </w:rPr>
            </w:pPr>
            <w:r>
              <w:rPr>
                <w:rFonts w:hint="eastAsia" w:eastAsia="方正仿宋_GBK" w:cs="Times New Roman"/>
                <w:color w:val="auto"/>
                <w:sz w:val="21"/>
                <w:szCs w:val="21"/>
                <w:u w:val="none"/>
                <w:lang w:val="en-US" w:eastAsia="zh-CN"/>
              </w:rPr>
              <w:t>16</w:t>
            </w:r>
          </w:p>
        </w:tc>
        <w:tc>
          <w:tcPr>
            <w:tcW w:w="1567" w:type="dxa"/>
            <w:noWrap w:val="0"/>
            <w:vAlign w:val="center"/>
          </w:tcPr>
          <w:p>
            <w:pPr>
              <w:widowControl/>
              <w:jc w:val="center"/>
              <w:outlineLvl w:val="9"/>
              <w:rPr>
                <w:rFonts w:hint="eastAsia"/>
                <w:sz w:val="21"/>
                <w:szCs w:val="21"/>
              </w:rPr>
            </w:pPr>
            <w:r>
              <w:rPr>
                <w:rFonts w:hint="eastAsia"/>
                <w:sz w:val="21"/>
                <w:szCs w:val="21"/>
              </w:rPr>
              <w:t>伊犁州龙华进出口贸易有限公司</w:t>
            </w:r>
            <w:r>
              <w:rPr>
                <w:rFonts w:hint="eastAsia"/>
                <w:sz w:val="21"/>
                <w:szCs w:val="21"/>
                <w:lang w:val="en-US" w:eastAsia="zh-CN"/>
              </w:rPr>
              <w:t>实训基地</w:t>
            </w:r>
          </w:p>
        </w:tc>
        <w:tc>
          <w:tcPr>
            <w:tcW w:w="1445" w:type="dxa"/>
            <w:gridSpan w:val="3"/>
            <w:noWrap w:val="0"/>
            <w:vAlign w:val="center"/>
          </w:tcPr>
          <w:p>
            <w:pPr>
              <w:widowControl/>
              <w:jc w:val="center"/>
              <w:outlineLvl w:val="9"/>
              <w:rPr>
                <w:rFonts w:hint="eastAsia"/>
                <w:sz w:val="21"/>
                <w:szCs w:val="21"/>
              </w:rPr>
            </w:pPr>
            <w:r>
              <w:rPr>
                <w:rFonts w:hint="eastAsia"/>
                <w:sz w:val="21"/>
                <w:szCs w:val="21"/>
              </w:rPr>
              <w:t>伊犁州龙华进出口贸易有限公司</w:t>
            </w:r>
          </w:p>
        </w:tc>
        <w:tc>
          <w:tcPr>
            <w:tcW w:w="1002" w:type="dxa"/>
            <w:noWrap w:val="0"/>
            <w:vAlign w:val="center"/>
          </w:tcPr>
          <w:p>
            <w:pPr>
              <w:widowControl/>
              <w:jc w:val="center"/>
              <w:outlineLvl w:val="9"/>
              <w:rPr>
                <w:rFonts w:hint="eastAsia"/>
                <w:sz w:val="21"/>
                <w:szCs w:val="21"/>
                <w:lang w:val="zh-CN"/>
              </w:rPr>
            </w:pPr>
            <w:r>
              <w:rPr>
                <w:rFonts w:hint="eastAsia"/>
                <w:sz w:val="21"/>
                <w:szCs w:val="21"/>
                <w:lang w:val="zh-CN"/>
              </w:rPr>
              <w:t>校外</w:t>
            </w:r>
          </w:p>
        </w:tc>
        <w:tc>
          <w:tcPr>
            <w:tcW w:w="3244" w:type="dxa"/>
            <w:gridSpan w:val="5"/>
            <w:noWrap w:val="0"/>
            <w:vAlign w:val="center"/>
          </w:tcPr>
          <w:p>
            <w:pPr>
              <w:widowControl/>
              <w:jc w:val="center"/>
              <w:outlineLvl w:val="9"/>
              <w:rPr>
                <w:rFonts w:hint="eastAsia" w:ascii="宋体" w:hAnsi="宋体" w:eastAsia="宋体" w:cs="宋体"/>
                <w:sz w:val="21"/>
                <w:szCs w:val="21"/>
              </w:rPr>
            </w:pPr>
            <w:r>
              <w:rPr>
                <w:rFonts w:hint="eastAsia" w:ascii="宋体" w:hAnsi="宋体" w:eastAsia="宋体" w:cs="宋体"/>
                <w:sz w:val="21"/>
                <w:szCs w:val="21"/>
                <w:lang w:val="zh-CN" w:eastAsia="zh-CN"/>
              </w:rPr>
              <w:t>负责供应商开发、供应商谈判、供应商管理、日常的需求预测补货采购</w:t>
            </w:r>
          </w:p>
        </w:tc>
      </w:tr>
    </w:tbl>
    <w:p>
      <w:pPr>
        <w:spacing w:before="101" w:line="276" w:lineRule="auto"/>
        <w:ind w:right="1831"/>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作证材料如下：</w:t>
      </w:r>
    </w:p>
    <w:p>
      <w:pPr>
        <w:spacing w:before="101" w:line="276" w:lineRule="auto"/>
        <w:ind w:left="3113" w:right="1831" w:hanging="1277"/>
        <w:rPr>
          <w:rFonts w:hint="default" w:ascii="宋体" w:hAnsi="宋体" w:eastAsia="宋体" w:cs="宋体"/>
          <w:spacing w:val="9"/>
          <w:sz w:val="31"/>
          <w:szCs w:val="31"/>
          <w:lang w:val="en-US"/>
        </w:rPr>
      </w:pPr>
      <w:r>
        <w:drawing>
          <wp:anchor distT="0" distB="0" distL="114300" distR="114300" simplePos="0" relativeHeight="251661312" behindDoc="0" locked="0" layoutInCell="1" allowOverlap="1">
            <wp:simplePos x="0" y="0"/>
            <wp:positionH relativeFrom="column">
              <wp:posOffset>2841625</wp:posOffset>
            </wp:positionH>
            <wp:positionV relativeFrom="paragraph">
              <wp:posOffset>160655</wp:posOffset>
            </wp:positionV>
            <wp:extent cx="2750185" cy="3044190"/>
            <wp:effectExtent l="9525" t="9525" r="21590" b="1968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3"/>
                    <a:stretch>
                      <a:fillRect/>
                    </a:stretch>
                  </pic:blipFill>
                  <pic:spPr>
                    <a:xfrm>
                      <a:off x="0" y="0"/>
                      <a:ext cx="2750185" cy="3044190"/>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anchor distT="0" distB="0" distL="114300" distR="114300" simplePos="0" relativeHeight="251660288" behindDoc="0" locked="0" layoutInCell="1" allowOverlap="1">
            <wp:simplePos x="0" y="0"/>
            <wp:positionH relativeFrom="column">
              <wp:posOffset>76835</wp:posOffset>
            </wp:positionH>
            <wp:positionV relativeFrom="paragraph">
              <wp:posOffset>227965</wp:posOffset>
            </wp:positionV>
            <wp:extent cx="2525395" cy="3032760"/>
            <wp:effectExtent l="9525" t="9525" r="17780" b="18415"/>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4"/>
                    <a:stretch>
                      <a:fillRect/>
                    </a:stretch>
                  </pic:blipFill>
                  <pic:spPr>
                    <a:xfrm>
                      <a:off x="0" y="0"/>
                      <a:ext cx="2525395" cy="303276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eastAsia" w:ascii="宋体" w:hAnsi="宋体" w:eastAsia="宋体" w:cs="宋体"/>
          <w:spacing w:val="9"/>
          <w:sz w:val="31"/>
          <w:szCs w:val="31"/>
          <w:lang w:val="en-US" w:eastAsia="zh-CN"/>
        </w:rPr>
        <w:t xml:space="preserve">                </w:t>
      </w:r>
    </w:p>
    <w:p>
      <w:pPr>
        <w:spacing w:before="101" w:line="276" w:lineRule="auto"/>
        <w:ind w:left="3113" w:right="1831" w:hanging="1277"/>
        <w:rPr>
          <w:rFonts w:ascii="宋体" w:hAnsi="宋体" w:eastAsia="宋体" w:cs="宋体"/>
          <w:spacing w:val="9"/>
          <w:sz w:val="31"/>
          <w:szCs w:val="31"/>
        </w:rPr>
      </w:pPr>
    </w:p>
    <w:p>
      <w:pPr>
        <w:pStyle w:val="2"/>
        <w:rPr>
          <w:rFonts w:ascii="宋体" w:hAnsi="宋体" w:eastAsia="宋体" w:cs="宋体"/>
          <w:spacing w:val="9"/>
          <w:sz w:val="31"/>
          <w:szCs w:val="31"/>
        </w:rPr>
      </w:pPr>
    </w:p>
    <w:p>
      <w:pPr>
        <w:rPr>
          <w:rFonts w:ascii="宋体" w:hAnsi="宋体" w:eastAsia="宋体" w:cs="宋体"/>
          <w:spacing w:val="9"/>
          <w:sz w:val="31"/>
          <w:szCs w:val="31"/>
        </w:rPr>
      </w:pPr>
    </w:p>
    <w:p>
      <w:pPr>
        <w:pStyle w:val="2"/>
        <w:rPr>
          <w:rFonts w:ascii="宋体" w:hAnsi="宋体" w:eastAsia="宋体" w:cs="宋体"/>
          <w:spacing w:val="9"/>
          <w:sz w:val="31"/>
          <w:szCs w:val="31"/>
        </w:rPr>
      </w:pPr>
    </w:p>
    <w:p>
      <w:pPr>
        <w:rPr>
          <w:rFonts w:ascii="宋体" w:hAnsi="宋体" w:eastAsia="宋体" w:cs="宋体"/>
          <w:spacing w:val="9"/>
          <w:sz w:val="31"/>
          <w:szCs w:val="31"/>
        </w:rPr>
      </w:pPr>
    </w:p>
    <w:p>
      <w:pPr>
        <w:pStyle w:val="2"/>
        <w:rPr>
          <w:rFonts w:ascii="宋体" w:hAnsi="宋体" w:eastAsia="宋体" w:cs="宋体"/>
          <w:spacing w:val="9"/>
          <w:sz w:val="31"/>
          <w:szCs w:val="31"/>
        </w:rPr>
      </w:pPr>
    </w:p>
    <w:p>
      <w:pPr>
        <w:outlineLvl w:val="9"/>
        <w:rPr>
          <w:rFonts w:ascii="宋体" w:hAnsi="宋体" w:eastAsia="宋体" w:cs="宋体"/>
          <w:spacing w:val="9"/>
          <w:sz w:val="31"/>
          <w:szCs w:val="31"/>
        </w:rPr>
      </w:pPr>
      <w:r>
        <w:drawing>
          <wp:anchor distT="0" distB="0" distL="114300" distR="114300" simplePos="0" relativeHeight="251662336" behindDoc="0" locked="0" layoutInCell="1" allowOverlap="1">
            <wp:simplePos x="0" y="0"/>
            <wp:positionH relativeFrom="column">
              <wp:posOffset>3098800</wp:posOffset>
            </wp:positionH>
            <wp:positionV relativeFrom="paragraph">
              <wp:posOffset>20320</wp:posOffset>
            </wp:positionV>
            <wp:extent cx="2566670" cy="3821430"/>
            <wp:effectExtent l="9525" t="9525" r="14605" b="17145"/>
            <wp:wrapNone/>
            <wp:docPr id="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pic:cNvPicPr>
                      <a:picLocks noChangeAspect="1"/>
                    </pic:cNvPicPr>
                  </pic:nvPicPr>
                  <pic:blipFill>
                    <a:blip r:embed="rId15"/>
                    <a:stretch>
                      <a:fillRect/>
                    </a:stretch>
                  </pic:blipFill>
                  <pic:spPr>
                    <a:xfrm>
                      <a:off x="0" y="0"/>
                      <a:ext cx="2566670" cy="3821430"/>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inline distT="0" distB="0" distL="114300" distR="114300">
            <wp:extent cx="2600960" cy="3767455"/>
            <wp:effectExtent l="9525" t="9525" r="18415" b="1397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16"/>
                    <a:stretch>
                      <a:fillRect/>
                    </a:stretch>
                  </pic:blipFill>
                  <pic:spPr>
                    <a:xfrm>
                      <a:off x="0" y="0"/>
                      <a:ext cx="2600960" cy="3767455"/>
                    </a:xfrm>
                    <a:prstGeom prst="rect">
                      <a:avLst/>
                    </a:prstGeom>
                    <a:noFill/>
                    <a:ln w="9525" cap="flat" cmpd="sng">
                      <a:solidFill>
                        <a:srgbClr val="000000"/>
                      </a:solidFill>
                      <a:prstDash val="solid"/>
                      <a:miter/>
                      <a:headEnd type="none" w="med" len="med"/>
                      <a:tailEnd type="none" w="med" len="med"/>
                    </a:ln>
                  </pic:spPr>
                </pic:pic>
              </a:graphicData>
            </a:graphic>
          </wp:inline>
        </w:drawing>
      </w:r>
    </w:p>
    <w:p>
      <w:pPr>
        <w:outlineLvl w:val="9"/>
        <w:rPr>
          <w:rFonts w:ascii="宋体" w:hAnsi="宋体" w:eastAsia="宋体" w:cs="宋体"/>
          <w:spacing w:val="9"/>
          <w:sz w:val="31"/>
          <w:szCs w:val="31"/>
        </w:rPr>
      </w:pPr>
      <w:r>
        <w:drawing>
          <wp:anchor distT="0" distB="0" distL="114300" distR="114300" simplePos="0" relativeHeight="251664384" behindDoc="0" locked="0" layoutInCell="1" allowOverlap="1">
            <wp:simplePos x="0" y="0"/>
            <wp:positionH relativeFrom="column">
              <wp:posOffset>3051175</wp:posOffset>
            </wp:positionH>
            <wp:positionV relativeFrom="paragraph">
              <wp:posOffset>85725</wp:posOffset>
            </wp:positionV>
            <wp:extent cx="2628265" cy="3783965"/>
            <wp:effectExtent l="9525" t="9525" r="10160" b="16510"/>
            <wp:wrapNone/>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17"/>
                    <a:stretch>
                      <a:fillRect/>
                    </a:stretch>
                  </pic:blipFill>
                  <pic:spPr>
                    <a:xfrm>
                      <a:off x="0" y="0"/>
                      <a:ext cx="2628265" cy="3783965"/>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anchor distT="0" distB="0" distL="114300" distR="114300" simplePos="0" relativeHeight="251663360" behindDoc="0" locked="0" layoutInCell="1" allowOverlap="1">
            <wp:simplePos x="0" y="0"/>
            <wp:positionH relativeFrom="column">
              <wp:posOffset>15240</wp:posOffset>
            </wp:positionH>
            <wp:positionV relativeFrom="paragraph">
              <wp:posOffset>157480</wp:posOffset>
            </wp:positionV>
            <wp:extent cx="2539365" cy="3750310"/>
            <wp:effectExtent l="9525" t="9525" r="22860" b="12065"/>
            <wp:wrapNone/>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18"/>
                    <a:stretch>
                      <a:fillRect/>
                    </a:stretch>
                  </pic:blipFill>
                  <pic:spPr>
                    <a:xfrm>
                      <a:off x="0" y="0"/>
                      <a:ext cx="2539365" cy="3750310"/>
                    </a:xfrm>
                    <a:prstGeom prst="rect">
                      <a:avLst/>
                    </a:prstGeom>
                    <a:noFill/>
                    <a:ln w="9525" cap="flat" cmpd="sng">
                      <a:solidFill>
                        <a:srgbClr val="000000"/>
                      </a:solidFill>
                      <a:prstDash val="solid"/>
                      <a:miter/>
                      <a:headEnd type="none" w="med" len="med"/>
                      <a:tailEnd type="none" w="med" len="med"/>
                    </a:ln>
                  </pic:spPr>
                </pic:pic>
              </a:graphicData>
            </a:graphic>
          </wp:anchor>
        </w:drawing>
      </w: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rPr>
          <w:rFonts w:ascii="宋体" w:hAnsi="宋体" w:eastAsia="宋体" w:cs="宋体"/>
          <w:spacing w:val="9"/>
          <w:sz w:val="31"/>
          <w:szCs w:val="31"/>
        </w:rPr>
      </w:pPr>
    </w:p>
    <w:p>
      <w:pPr>
        <w:outlineLvl w:val="9"/>
      </w:pPr>
    </w:p>
    <w:p>
      <w:pPr>
        <w:outlineLvl w:val="9"/>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outlineLvl w:val="9"/>
        <w:rPr>
          <w:rFonts w:hint="eastAsia" w:ascii="宋体" w:hAnsi="宋体" w:eastAsia="宋体" w:cs="宋体"/>
          <w:b/>
          <w:bCs/>
          <w:spacing w:val="9"/>
          <w:sz w:val="32"/>
          <w:szCs w:val="32"/>
          <w:lang w:val="en-US" w:eastAsia="zh-CN"/>
        </w:rPr>
      </w:pPr>
      <w:r>
        <w:drawing>
          <wp:anchor distT="0" distB="0" distL="114300" distR="114300" simplePos="0" relativeHeight="251666432" behindDoc="0" locked="0" layoutInCell="1" allowOverlap="1">
            <wp:simplePos x="0" y="0"/>
            <wp:positionH relativeFrom="column">
              <wp:posOffset>3194685</wp:posOffset>
            </wp:positionH>
            <wp:positionV relativeFrom="paragraph">
              <wp:posOffset>6985</wp:posOffset>
            </wp:positionV>
            <wp:extent cx="2910840" cy="4005580"/>
            <wp:effectExtent l="9525" t="9525" r="13335" b="23495"/>
            <wp:wrapNone/>
            <wp:docPr id="3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pic:cNvPicPr>
                      <a:picLocks noChangeAspect="1"/>
                    </pic:cNvPicPr>
                  </pic:nvPicPr>
                  <pic:blipFill>
                    <a:blip r:embed="rId19"/>
                    <a:stretch>
                      <a:fillRect/>
                    </a:stretch>
                  </pic:blipFill>
                  <pic:spPr>
                    <a:xfrm>
                      <a:off x="0" y="0"/>
                      <a:ext cx="2910840" cy="4005580"/>
                    </a:xfrm>
                    <a:prstGeom prst="rect">
                      <a:avLst/>
                    </a:prstGeom>
                    <a:noFill/>
                    <a:ln w="9525" cap="flat" cmpd="sng">
                      <a:solidFill>
                        <a:srgbClr val="000000"/>
                      </a:solidFill>
                      <a:prstDash val="solid"/>
                      <a:miter/>
                      <a:headEnd type="none" w="med" len="med"/>
                      <a:tailEnd type="none" w="med" len="med"/>
                    </a:ln>
                  </pic:spPr>
                </pic:pic>
              </a:graphicData>
            </a:graphic>
          </wp:anchor>
        </w:drawing>
      </w:r>
      <w:r>
        <w:drawing>
          <wp:anchor distT="0" distB="0" distL="114300" distR="114300" simplePos="0" relativeHeight="251665408" behindDoc="0" locked="0" layoutInCell="1" allowOverlap="1">
            <wp:simplePos x="0" y="0"/>
            <wp:positionH relativeFrom="column">
              <wp:posOffset>156845</wp:posOffset>
            </wp:positionH>
            <wp:positionV relativeFrom="paragraph">
              <wp:posOffset>15240</wp:posOffset>
            </wp:positionV>
            <wp:extent cx="2696210" cy="3957320"/>
            <wp:effectExtent l="9525" t="9525" r="18415" b="14605"/>
            <wp:wrapNone/>
            <wp:docPr id="3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pic:cNvPicPr>
                      <a:picLocks noChangeAspect="1"/>
                    </pic:cNvPicPr>
                  </pic:nvPicPr>
                  <pic:blipFill>
                    <a:blip r:embed="rId20"/>
                    <a:stretch>
                      <a:fillRect/>
                    </a:stretch>
                  </pic:blipFill>
                  <pic:spPr>
                    <a:xfrm>
                      <a:off x="0" y="0"/>
                      <a:ext cx="2696210" cy="3957320"/>
                    </a:xfrm>
                    <a:prstGeom prst="rect">
                      <a:avLst/>
                    </a:prstGeom>
                    <a:noFill/>
                    <a:ln w="9525" cap="flat" cmpd="sng">
                      <a:solidFill>
                        <a:srgbClr val="000000"/>
                      </a:solidFill>
                      <a:prstDash val="solid"/>
                      <a:miter/>
                      <a:headEnd type="none" w="med" len="med"/>
                      <a:tailEnd type="none" w="med" len="med"/>
                    </a:ln>
                  </pic:spPr>
                </pic:pic>
              </a:graphicData>
            </a:graphic>
          </wp:anchor>
        </w:drawing>
      </w: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360" w:lineRule="auto"/>
        <w:ind w:right="0"/>
        <w:jc w:val="center"/>
        <w:rPr>
          <w:rFonts w:hint="eastAsia" w:ascii="宋体" w:hAnsi="宋体" w:eastAsia="宋体" w:cs="宋体"/>
          <w:b/>
          <w:bCs/>
          <w:spacing w:val="9"/>
          <w:sz w:val="32"/>
          <w:szCs w:val="32"/>
          <w:lang w:val="en-US" w:eastAsia="zh-CN"/>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p>
    <w:p>
      <w:pPr>
        <w:spacing w:line="0" w:lineRule="atLeast"/>
        <w:ind w:left="493" w:hanging="492" w:hangingChars="112"/>
        <w:jc w:val="center"/>
        <w:rPr>
          <w:rFonts w:hint="eastAsia" w:ascii="方正小标宋_GBK" w:hAnsi="方正小标宋_GBK" w:eastAsia="方正小标宋_GBK" w:cs="方正小标宋_GBK"/>
          <w:color w:val="auto"/>
          <w:sz w:val="44"/>
          <w:szCs w:val="44"/>
          <w:u w:val="none"/>
        </w:rPr>
      </w:pPr>
      <w:r>
        <w:rPr>
          <w:rFonts w:hint="eastAsia" w:ascii="方正小标宋_GBK" w:hAnsi="方正小标宋_GBK" w:eastAsia="方正小标宋_GBK" w:cs="方正小标宋_GBK"/>
          <w:color w:val="auto"/>
          <w:sz w:val="44"/>
          <w:szCs w:val="44"/>
          <w:u w:val="none"/>
        </w:rPr>
        <w:t>申请增设</w:t>
      </w:r>
      <w:r>
        <w:rPr>
          <w:rFonts w:hint="eastAsia" w:ascii="方正小标宋简体" w:hAnsi="方正小标宋简体" w:eastAsia="方正小标宋简体" w:cs="方正小标宋简体"/>
          <w:sz w:val="36"/>
          <w:szCs w:val="36"/>
          <w:lang w:val="en-US" w:eastAsia="zh-CN"/>
        </w:rPr>
        <w:t>《跨境电子商务》</w:t>
      </w:r>
      <w:r>
        <w:rPr>
          <w:rFonts w:hint="eastAsia" w:ascii="方正小标宋_GBK" w:hAnsi="方正小标宋_GBK" w:eastAsia="方正小标宋_GBK" w:cs="方正小标宋_GBK"/>
          <w:color w:val="auto"/>
          <w:sz w:val="44"/>
          <w:szCs w:val="44"/>
          <w:u w:val="none"/>
        </w:rPr>
        <w:t>专业人才培养方案</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74" w:type="dxa"/>
          </w:tcPr>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default"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版本信息：PYFA--2025JG-06</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制定人：跨境电子商务专业团队</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审核：</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所属学院：经济管理学院</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一、专业名称及代码</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专业名称：跨境电子商务</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专业代码：630805</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二、入学要求</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普通高级中学毕业生或具有同等学力者</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三、修业年限</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3年</w:t>
            </w:r>
          </w:p>
          <w:p>
            <w:pPr>
              <w:keepNext w:val="0"/>
              <w:keepLines w:val="0"/>
              <w:pageBreakBefore w:val="0"/>
              <w:widowControl w:val="0"/>
              <w:kinsoku/>
              <w:wordWrap/>
              <w:overflowPunct/>
              <w:topLinePunct w:val="0"/>
              <w:autoSpaceDE/>
              <w:autoSpaceDN/>
              <w:bidi w:val="0"/>
              <w:adjustRightInd/>
              <w:snapToGrid/>
              <w:spacing w:line="500" w:lineRule="exact"/>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四、职业面向</w:t>
            </w:r>
            <w:r>
              <w:rPr>
                <w:rFonts w:hint="eastAsia" w:ascii="黑体" w:hAnsi="黑体" w:eastAsia="黑体" w:cs="Times New Roman"/>
                <w:b/>
                <w:bCs/>
                <w:sz w:val="28"/>
                <w:szCs w:val="28"/>
                <w:highlight w:val="none"/>
                <w:lang w:val="en-US" w:eastAsia="zh-CN"/>
              </w:rPr>
              <w:footnoteReference w:id="0"/>
            </w:r>
          </w:p>
          <w:tbl>
            <w:tblPr>
              <w:tblStyle w:val="12"/>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072"/>
              <w:gridCol w:w="1241"/>
              <w:gridCol w:w="1898"/>
              <w:gridCol w:w="1930"/>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jc w:val="center"/>
              </w:trPr>
              <w:tc>
                <w:tcPr>
                  <w:tcW w:w="1119" w:type="dxa"/>
                  <w:noWrap w:val="0"/>
                  <w:vAlign w:val="center"/>
                </w:tcPr>
                <w:p>
                  <w:pPr>
                    <w:pStyle w:val="20"/>
                    <w:keepNext w:val="0"/>
                    <w:keepLines w:val="0"/>
                    <w:pageBreakBefore w:val="0"/>
                    <w:kinsoku/>
                    <w:wordWrap/>
                    <w:overflowPunct/>
                    <w:topLinePunct w:val="0"/>
                    <w:autoSpaceDE/>
                    <w:autoSpaceDN/>
                    <w:bidi w:val="0"/>
                    <w:spacing w:line="360" w:lineRule="auto"/>
                    <w:jc w:val="center"/>
                    <w:textAlignment w:val="auto"/>
                    <w:outlineLvl w:val="9"/>
                    <w:rPr>
                      <w:rFonts w:hint="eastAsia"/>
                      <w:b/>
                      <w:color w:val="auto"/>
                      <w:sz w:val="21"/>
                      <w:szCs w:val="21"/>
                    </w:rPr>
                  </w:pPr>
                  <w:r>
                    <w:rPr>
                      <w:rFonts w:hint="eastAsia"/>
                      <w:b/>
                      <w:color w:val="auto"/>
                      <w:sz w:val="21"/>
                      <w:szCs w:val="21"/>
                    </w:rPr>
                    <w:t>专业大类</w:t>
                  </w:r>
                </w:p>
                <w:p>
                  <w:pPr>
                    <w:pStyle w:val="20"/>
                    <w:keepNext w:val="0"/>
                    <w:keepLines w:val="0"/>
                    <w:pageBreakBefore w:val="0"/>
                    <w:kinsoku/>
                    <w:wordWrap/>
                    <w:overflowPunct/>
                    <w:topLinePunct w:val="0"/>
                    <w:autoSpaceDE/>
                    <w:autoSpaceDN/>
                    <w:bidi w:val="0"/>
                    <w:spacing w:line="360" w:lineRule="auto"/>
                    <w:jc w:val="center"/>
                    <w:textAlignment w:val="auto"/>
                    <w:outlineLvl w:val="9"/>
                    <w:rPr>
                      <w:b/>
                      <w:color w:val="auto"/>
                      <w:sz w:val="21"/>
                      <w:szCs w:val="21"/>
                    </w:rPr>
                  </w:pPr>
                  <w:r>
                    <w:rPr>
                      <w:rFonts w:hint="eastAsia"/>
                      <w:b/>
                      <w:color w:val="auto"/>
                      <w:sz w:val="21"/>
                      <w:szCs w:val="21"/>
                    </w:rPr>
                    <w:t>（代码）</w:t>
                  </w:r>
                </w:p>
              </w:tc>
              <w:tc>
                <w:tcPr>
                  <w:tcW w:w="1072" w:type="dxa"/>
                  <w:noWrap w:val="0"/>
                  <w:vAlign w:val="center"/>
                </w:tcPr>
                <w:p>
                  <w:pPr>
                    <w:pStyle w:val="20"/>
                    <w:keepNext w:val="0"/>
                    <w:keepLines w:val="0"/>
                    <w:pageBreakBefore w:val="0"/>
                    <w:tabs>
                      <w:tab w:val="center" w:pos="1109"/>
                      <w:tab w:val="right" w:pos="2098"/>
                    </w:tabs>
                    <w:kinsoku/>
                    <w:wordWrap/>
                    <w:overflowPunct/>
                    <w:topLinePunct w:val="0"/>
                    <w:autoSpaceDE/>
                    <w:autoSpaceDN/>
                    <w:bidi w:val="0"/>
                    <w:spacing w:line="360" w:lineRule="auto"/>
                    <w:jc w:val="center"/>
                    <w:textAlignment w:val="auto"/>
                    <w:outlineLvl w:val="9"/>
                    <w:rPr>
                      <w:b/>
                      <w:color w:val="auto"/>
                      <w:sz w:val="21"/>
                      <w:szCs w:val="21"/>
                    </w:rPr>
                  </w:pPr>
                  <w:r>
                    <w:rPr>
                      <w:rFonts w:hint="eastAsia"/>
                      <w:b/>
                      <w:color w:val="auto"/>
                      <w:sz w:val="21"/>
                      <w:szCs w:val="21"/>
                    </w:rPr>
                    <w:t>专业类</w:t>
                  </w:r>
                </w:p>
                <w:p>
                  <w:pPr>
                    <w:pStyle w:val="20"/>
                    <w:keepNext w:val="0"/>
                    <w:keepLines w:val="0"/>
                    <w:pageBreakBefore w:val="0"/>
                    <w:tabs>
                      <w:tab w:val="center" w:pos="1109"/>
                      <w:tab w:val="right" w:pos="2098"/>
                    </w:tabs>
                    <w:kinsoku/>
                    <w:wordWrap/>
                    <w:overflowPunct/>
                    <w:topLinePunct w:val="0"/>
                    <w:autoSpaceDE/>
                    <w:autoSpaceDN/>
                    <w:bidi w:val="0"/>
                    <w:spacing w:line="360" w:lineRule="auto"/>
                    <w:jc w:val="center"/>
                    <w:textAlignment w:val="auto"/>
                    <w:outlineLvl w:val="9"/>
                    <w:rPr>
                      <w:b/>
                      <w:bCs/>
                      <w:color w:val="auto"/>
                      <w:sz w:val="21"/>
                      <w:szCs w:val="21"/>
                    </w:rPr>
                  </w:pPr>
                  <w:r>
                    <w:rPr>
                      <w:rFonts w:hint="eastAsia"/>
                      <w:b/>
                      <w:color w:val="auto"/>
                      <w:sz w:val="21"/>
                      <w:szCs w:val="21"/>
                    </w:rPr>
                    <w:t>（代码）</w:t>
                  </w:r>
                </w:p>
              </w:tc>
              <w:tc>
                <w:tcPr>
                  <w:tcW w:w="1241" w:type="dxa"/>
                  <w:noWrap w:val="0"/>
                  <w:vAlign w:val="center"/>
                </w:tcPr>
                <w:p>
                  <w:pPr>
                    <w:pStyle w:val="20"/>
                    <w:keepNext w:val="0"/>
                    <w:keepLines w:val="0"/>
                    <w:pageBreakBefore w:val="0"/>
                    <w:tabs>
                      <w:tab w:val="center" w:pos="1109"/>
                      <w:tab w:val="right" w:pos="2098"/>
                    </w:tabs>
                    <w:kinsoku/>
                    <w:wordWrap/>
                    <w:overflowPunct/>
                    <w:topLinePunct w:val="0"/>
                    <w:autoSpaceDE/>
                    <w:autoSpaceDN/>
                    <w:bidi w:val="0"/>
                    <w:spacing w:line="360" w:lineRule="auto"/>
                    <w:jc w:val="center"/>
                    <w:textAlignment w:val="auto"/>
                    <w:outlineLvl w:val="9"/>
                    <w:rPr>
                      <w:b/>
                      <w:bCs/>
                      <w:color w:val="auto"/>
                      <w:sz w:val="21"/>
                      <w:szCs w:val="21"/>
                    </w:rPr>
                  </w:pPr>
                  <w:r>
                    <w:rPr>
                      <w:rFonts w:hint="eastAsia"/>
                      <w:b/>
                      <w:color w:val="auto"/>
                      <w:sz w:val="21"/>
                      <w:szCs w:val="21"/>
                    </w:rPr>
                    <w:t>本专业所对应的行业</w:t>
                  </w:r>
                  <w:r>
                    <w:rPr>
                      <w:rStyle w:val="17"/>
                      <w:rFonts w:ascii="Calibri" w:hAnsi="Calibri" w:eastAsia="宋体" w:cs="Times New Roman"/>
                      <w:color w:val="auto"/>
                      <w:kern w:val="2"/>
                      <w:sz w:val="21"/>
                      <w:szCs w:val="21"/>
                    </w:rPr>
                    <w:footnoteReference w:id="1"/>
                  </w:r>
                </w:p>
              </w:tc>
              <w:tc>
                <w:tcPr>
                  <w:tcW w:w="1898" w:type="dxa"/>
                  <w:noWrap w:val="0"/>
                  <w:vAlign w:val="center"/>
                </w:tcPr>
                <w:p>
                  <w:pPr>
                    <w:pStyle w:val="20"/>
                    <w:keepNext w:val="0"/>
                    <w:keepLines w:val="0"/>
                    <w:pageBreakBefore w:val="0"/>
                    <w:tabs>
                      <w:tab w:val="center" w:pos="1109"/>
                      <w:tab w:val="right" w:pos="2098"/>
                    </w:tabs>
                    <w:kinsoku/>
                    <w:wordWrap/>
                    <w:overflowPunct/>
                    <w:topLinePunct w:val="0"/>
                    <w:autoSpaceDE/>
                    <w:autoSpaceDN/>
                    <w:bidi w:val="0"/>
                    <w:spacing w:line="360" w:lineRule="auto"/>
                    <w:jc w:val="center"/>
                    <w:textAlignment w:val="auto"/>
                    <w:outlineLvl w:val="9"/>
                    <w:rPr>
                      <w:b/>
                      <w:bCs/>
                      <w:color w:val="auto"/>
                      <w:sz w:val="21"/>
                      <w:szCs w:val="21"/>
                    </w:rPr>
                  </w:pPr>
                  <w:r>
                    <w:rPr>
                      <w:rFonts w:hint="eastAsia"/>
                      <w:b/>
                      <w:color w:val="auto"/>
                      <w:sz w:val="21"/>
                      <w:szCs w:val="21"/>
                    </w:rPr>
                    <w:t>主要职业类别</w:t>
                  </w:r>
                  <w:r>
                    <w:rPr>
                      <w:rStyle w:val="17"/>
                      <w:rFonts w:ascii="Calibri" w:hAnsi="Calibri" w:eastAsia="宋体" w:cs="Times New Roman"/>
                      <w:color w:val="auto"/>
                      <w:kern w:val="2"/>
                      <w:sz w:val="21"/>
                      <w:szCs w:val="21"/>
                    </w:rPr>
                    <w:footnoteReference w:id="2"/>
                  </w:r>
                </w:p>
              </w:tc>
              <w:tc>
                <w:tcPr>
                  <w:tcW w:w="1930" w:type="dxa"/>
                  <w:noWrap w:val="0"/>
                  <w:vAlign w:val="center"/>
                </w:tcPr>
                <w:p>
                  <w:pPr>
                    <w:pStyle w:val="20"/>
                    <w:keepNext w:val="0"/>
                    <w:keepLines w:val="0"/>
                    <w:pageBreakBefore w:val="0"/>
                    <w:kinsoku/>
                    <w:wordWrap/>
                    <w:overflowPunct/>
                    <w:topLinePunct w:val="0"/>
                    <w:autoSpaceDE/>
                    <w:autoSpaceDN/>
                    <w:bidi w:val="0"/>
                    <w:spacing w:line="360" w:lineRule="auto"/>
                    <w:jc w:val="center"/>
                    <w:textAlignment w:val="auto"/>
                    <w:outlineLvl w:val="9"/>
                    <w:rPr>
                      <w:rFonts w:hint="eastAsia" w:eastAsia="宋体"/>
                      <w:b/>
                      <w:color w:val="auto"/>
                      <w:sz w:val="21"/>
                      <w:szCs w:val="21"/>
                      <w:lang w:eastAsia="zh-CN"/>
                    </w:rPr>
                  </w:pPr>
                  <w:r>
                    <w:rPr>
                      <w:rFonts w:hint="eastAsia"/>
                      <w:b/>
                      <w:color w:val="auto"/>
                      <w:sz w:val="21"/>
                      <w:szCs w:val="21"/>
                    </w:rPr>
                    <w:t>主要岗位</w:t>
                  </w:r>
                  <w:r>
                    <w:rPr>
                      <w:rFonts w:hint="eastAsia"/>
                      <w:b/>
                      <w:color w:val="auto"/>
                      <w:sz w:val="21"/>
                      <w:szCs w:val="21"/>
                      <w:lang w:eastAsia="zh-CN"/>
                    </w:rPr>
                    <w:t>群</w:t>
                  </w:r>
                </w:p>
                <w:p>
                  <w:pPr>
                    <w:pStyle w:val="20"/>
                    <w:keepNext w:val="0"/>
                    <w:keepLines w:val="0"/>
                    <w:pageBreakBefore w:val="0"/>
                    <w:kinsoku/>
                    <w:wordWrap/>
                    <w:overflowPunct/>
                    <w:topLinePunct w:val="0"/>
                    <w:autoSpaceDE/>
                    <w:autoSpaceDN/>
                    <w:bidi w:val="0"/>
                    <w:spacing w:line="360" w:lineRule="auto"/>
                    <w:jc w:val="center"/>
                    <w:textAlignment w:val="auto"/>
                    <w:outlineLvl w:val="9"/>
                    <w:rPr>
                      <w:b/>
                      <w:color w:val="auto"/>
                      <w:sz w:val="21"/>
                      <w:szCs w:val="21"/>
                    </w:rPr>
                  </w:pPr>
                  <w:r>
                    <w:rPr>
                      <w:rFonts w:hint="eastAsia"/>
                      <w:b/>
                      <w:color w:val="auto"/>
                      <w:sz w:val="21"/>
                      <w:szCs w:val="21"/>
                    </w:rPr>
                    <w:t>（</w:t>
                  </w:r>
                  <w:r>
                    <w:rPr>
                      <w:rFonts w:hint="eastAsia"/>
                      <w:b/>
                      <w:color w:val="auto"/>
                      <w:sz w:val="21"/>
                      <w:szCs w:val="21"/>
                      <w:lang w:eastAsia="zh-CN"/>
                    </w:rPr>
                    <w:t>或</w:t>
                  </w:r>
                  <w:r>
                    <w:rPr>
                      <w:rFonts w:hint="eastAsia"/>
                      <w:b/>
                      <w:color w:val="auto"/>
                      <w:sz w:val="21"/>
                      <w:szCs w:val="21"/>
                    </w:rPr>
                    <w:t>技术领域）</w:t>
                  </w:r>
                </w:p>
              </w:tc>
              <w:tc>
                <w:tcPr>
                  <w:tcW w:w="1798" w:type="dxa"/>
                  <w:noWrap w:val="0"/>
                  <w:vAlign w:val="center"/>
                </w:tcPr>
                <w:p>
                  <w:pPr>
                    <w:pStyle w:val="20"/>
                    <w:keepNext w:val="0"/>
                    <w:keepLines w:val="0"/>
                    <w:pageBreakBefore w:val="0"/>
                    <w:kinsoku/>
                    <w:wordWrap/>
                    <w:overflowPunct/>
                    <w:topLinePunct w:val="0"/>
                    <w:autoSpaceDE/>
                    <w:autoSpaceDN/>
                    <w:bidi w:val="0"/>
                    <w:spacing w:line="360" w:lineRule="auto"/>
                    <w:jc w:val="center"/>
                    <w:textAlignment w:val="auto"/>
                    <w:outlineLvl w:val="9"/>
                    <w:rPr>
                      <w:b/>
                      <w:color w:val="auto"/>
                      <w:sz w:val="21"/>
                      <w:szCs w:val="21"/>
                    </w:rPr>
                  </w:pPr>
                  <w:r>
                    <w:rPr>
                      <w:rFonts w:hint="eastAsia"/>
                      <w:b/>
                      <w:color w:val="auto"/>
                      <w:sz w:val="21"/>
                      <w:szCs w:val="21"/>
                    </w:rPr>
                    <w:t>职业技能等级证书、行业企业标准和证书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119" w:type="dxa"/>
                  <w:noWrap w:val="0"/>
                  <w:vAlign w:val="top"/>
                </w:tcPr>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pStyle w:val="21"/>
                    <w:keepNext w:val="0"/>
                    <w:keepLines w:val="0"/>
                    <w:pageBreakBefore w:val="0"/>
                    <w:kinsoku/>
                    <w:wordWrap/>
                    <w:overflowPunct/>
                    <w:topLinePunct w:val="0"/>
                    <w:autoSpaceDE/>
                    <w:autoSpaceDN/>
                    <w:bidi w:val="0"/>
                    <w:spacing w:line="240" w:lineRule="auto"/>
                    <w:ind w:left="35" w:leftChars="0" w:hanging="3" w:firstLineChars="0"/>
                    <w:textAlignment w:val="auto"/>
                    <w:outlineLvl w:val="9"/>
                    <w:rPr>
                      <w:rFonts w:hint="eastAsia" w:ascii="宋体" w:hAnsi="宋体" w:eastAsia="宋体" w:cs="宋体"/>
                      <w:b/>
                      <w:bCs/>
                      <w:color w:val="auto"/>
                      <w:sz w:val="21"/>
                      <w:szCs w:val="21"/>
                    </w:rPr>
                  </w:pPr>
                  <w:r>
                    <w:rPr>
                      <w:spacing w:val="-6"/>
                    </w:rPr>
                    <w:t>财经商贸</w:t>
                  </w:r>
                  <w:r>
                    <w:rPr>
                      <w:spacing w:val="-5"/>
                    </w:rPr>
                    <w:t>大类（53）</w:t>
                  </w:r>
                </w:p>
              </w:tc>
              <w:tc>
                <w:tcPr>
                  <w:tcW w:w="1072" w:type="dxa"/>
                  <w:noWrap w:val="0"/>
                  <w:vAlign w:val="top"/>
                </w:tcPr>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pStyle w:val="21"/>
                    <w:keepNext w:val="0"/>
                    <w:keepLines w:val="0"/>
                    <w:pageBreakBefore w:val="0"/>
                    <w:kinsoku/>
                    <w:wordWrap/>
                    <w:overflowPunct/>
                    <w:topLinePunct w:val="0"/>
                    <w:autoSpaceDE/>
                    <w:autoSpaceDN/>
                    <w:bidi w:val="0"/>
                    <w:spacing w:line="240" w:lineRule="auto"/>
                    <w:ind w:left="33" w:leftChars="0" w:right="88" w:rightChars="0" w:firstLine="13" w:firstLineChars="0"/>
                    <w:textAlignment w:val="auto"/>
                    <w:outlineLvl w:val="9"/>
                    <w:rPr>
                      <w:rFonts w:hint="eastAsia" w:ascii="宋体" w:hAnsi="宋体" w:eastAsia="宋体" w:cs="宋体"/>
                      <w:b/>
                      <w:bCs/>
                      <w:color w:val="auto"/>
                      <w:sz w:val="21"/>
                      <w:szCs w:val="21"/>
                    </w:rPr>
                  </w:pPr>
                  <w:r>
                    <w:rPr>
                      <w:spacing w:val="5"/>
                    </w:rPr>
                    <w:t>电子商务类</w:t>
                  </w:r>
                  <w:r>
                    <w:rPr>
                      <w:spacing w:val="-7"/>
                    </w:rPr>
                    <w:t>(5307)</w:t>
                  </w:r>
                </w:p>
              </w:tc>
              <w:tc>
                <w:tcPr>
                  <w:tcW w:w="1241" w:type="dxa"/>
                  <w:noWrap w:val="0"/>
                  <w:vAlign w:val="top"/>
                </w:tcPr>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pStyle w:val="21"/>
                    <w:keepNext w:val="0"/>
                    <w:keepLines w:val="0"/>
                    <w:pageBreakBefore w:val="0"/>
                    <w:kinsoku/>
                    <w:wordWrap/>
                    <w:overflowPunct/>
                    <w:topLinePunct w:val="0"/>
                    <w:autoSpaceDE/>
                    <w:autoSpaceDN/>
                    <w:bidi w:val="0"/>
                    <w:spacing w:line="240" w:lineRule="auto"/>
                    <w:ind w:left="27" w:right="87"/>
                    <w:jc w:val="left"/>
                    <w:textAlignment w:val="auto"/>
                    <w:outlineLvl w:val="9"/>
                  </w:pPr>
                  <w:r>
                    <w:rPr>
                      <w:spacing w:val="9"/>
                    </w:rPr>
                    <w:t>互联网和相关服</w:t>
                  </w:r>
                  <w:r>
                    <w:rPr>
                      <w:spacing w:val="5"/>
                    </w:rPr>
                    <w:t>务（64</w:t>
                  </w:r>
                  <w:r>
                    <w:rPr>
                      <w:spacing w:val="-6"/>
                    </w:rPr>
                    <w:t>）；</w:t>
                  </w:r>
                </w:p>
                <w:p>
                  <w:pPr>
                    <w:pStyle w:val="21"/>
                    <w:keepNext w:val="0"/>
                    <w:keepLines w:val="0"/>
                    <w:pageBreakBefore w:val="0"/>
                    <w:kinsoku/>
                    <w:wordWrap/>
                    <w:overflowPunct/>
                    <w:topLinePunct w:val="0"/>
                    <w:autoSpaceDE/>
                    <w:autoSpaceDN/>
                    <w:bidi w:val="0"/>
                    <w:spacing w:line="240" w:lineRule="auto"/>
                    <w:ind w:left="27" w:leftChars="0" w:right="128" w:rightChars="0"/>
                    <w:textAlignment w:val="auto"/>
                    <w:outlineLvl w:val="9"/>
                    <w:rPr>
                      <w:rFonts w:hint="eastAsia" w:ascii="宋体" w:hAnsi="宋体" w:eastAsia="宋体" w:cs="宋体"/>
                      <w:b/>
                      <w:bCs/>
                      <w:color w:val="auto"/>
                      <w:sz w:val="21"/>
                      <w:szCs w:val="21"/>
                    </w:rPr>
                  </w:pPr>
                  <w:r>
                    <w:rPr>
                      <w:spacing w:val="7"/>
                    </w:rPr>
                    <w:t>批发业（51</w:t>
                  </w:r>
                  <w:r>
                    <w:rPr>
                      <w:spacing w:val="-39"/>
                    </w:rPr>
                    <w:t>）；</w:t>
                  </w:r>
                  <w:r>
                    <w:rPr>
                      <w:spacing w:val="10"/>
                    </w:rPr>
                    <w:t>零售业（52）</w:t>
                  </w:r>
                </w:p>
              </w:tc>
              <w:tc>
                <w:tcPr>
                  <w:tcW w:w="1898" w:type="dxa"/>
                  <w:noWrap w:val="0"/>
                  <w:vAlign w:val="top"/>
                </w:tcPr>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pStyle w:val="21"/>
                    <w:keepNext w:val="0"/>
                    <w:keepLines w:val="0"/>
                    <w:pageBreakBefore w:val="0"/>
                    <w:kinsoku/>
                    <w:wordWrap/>
                    <w:overflowPunct/>
                    <w:topLinePunct w:val="0"/>
                    <w:autoSpaceDE/>
                    <w:autoSpaceDN/>
                    <w:bidi w:val="0"/>
                    <w:spacing w:line="240" w:lineRule="auto"/>
                    <w:ind w:left="48"/>
                    <w:textAlignment w:val="auto"/>
                    <w:outlineLvl w:val="9"/>
                  </w:pPr>
                  <w:r>
                    <w:rPr>
                      <w:spacing w:val="5"/>
                    </w:rPr>
                    <w:t>电子商务员</w:t>
                  </w:r>
                </w:p>
                <w:p>
                  <w:pPr>
                    <w:pStyle w:val="21"/>
                    <w:keepNext w:val="0"/>
                    <w:keepLines w:val="0"/>
                    <w:pageBreakBefore w:val="0"/>
                    <w:kinsoku/>
                    <w:wordWrap/>
                    <w:overflowPunct/>
                    <w:topLinePunct w:val="0"/>
                    <w:autoSpaceDE/>
                    <w:autoSpaceDN/>
                    <w:bidi w:val="0"/>
                    <w:spacing w:line="240" w:lineRule="auto"/>
                    <w:ind w:left="20"/>
                    <w:textAlignment w:val="auto"/>
                    <w:outlineLvl w:val="9"/>
                  </w:pPr>
                  <w:r>
                    <w:rPr>
                      <w:spacing w:val="10"/>
                      <w:position w:val="1"/>
                    </w:rPr>
                    <w:t>（4-99-00）</w:t>
                  </w:r>
                </w:p>
                <w:p>
                  <w:pPr>
                    <w:pStyle w:val="21"/>
                    <w:keepNext w:val="0"/>
                    <w:keepLines w:val="0"/>
                    <w:pageBreakBefore w:val="0"/>
                    <w:kinsoku/>
                    <w:wordWrap/>
                    <w:overflowPunct/>
                    <w:topLinePunct w:val="0"/>
                    <w:autoSpaceDE/>
                    <w:autoSpaceDN/>
                    <w:bidi w:val="0"/>
                    <w:spacing w:line="240" w:lineRule="auto"/>
                    <w:ind w:left="29" w:leftChars="0" w:right="75" w:rightChars="0"/>
                    <w:textAlignment w:val="auto"/>
                    <w:outlineLvl w:val="9"/>
                    <w:rPr>
                      <w:spacing w:val="9"/>
                    </w:rPr>
                  </w:pPr>
                  <w:r>
                    <w:rPr>
                      <w:spacing w:val="9"/>
                    </w:rPr>
                    <w:t>商务咨询服务人员（4-07-02）</w:t>
                  </w:r>
                </w:p>
                <w:p>
                  <w:pPr>
                    <w:pStyle w:val="21"/>
                    <w:keepNext w:val="0"/>
                    <w:keepLines w:val="0"/>
                    <w:pageBreakBefore w:val="0"/>
                    <w:kinsoku/>
                    <w:wordWrap/>
                    <w:overflowPunct/>
                    <w:topLinePunct w:val="0"/>
                    <w:autoSpaceDE/>
                    <w:autoSpaceDN/>
                    <w:bidi w:val="0"/>
                    <w:spacing w:line="240" w:lineRule="auto"/>
                    <w:ind w:left="29" w:leftChars="0" w:right="75" w:rightChars="0"/>
                    <w:textAlignment w:val="auto"/>
                    <w:outlineLvl w:val="9"/>
                    <w:rPr>
                      <w:rFonts w:hint="eastAsia" w:eastAsia="宋体"/>
                      <w:spacing w:val="9"/>
                      <w:lang w:eastAsia="zh-CN"/>
                    </w:rPr>
                  </w:pPr>
                  <w:r>
                    <w:rPr>
                      <w:rFonts w:hint="eastAsia"/>
                      <w:spacing w:val="9"/>
                    </w:rPr>
                    <w:t>客户服务管理员</w:t>
                  </w:r>
                  <w:r>
                    <w:rPr>
                      <w:rFonts w:hint="eastAsia"/>
                      <w:spacing w:val="9"/>
                      <w:lang w:eastAsia="zh-CN"/>
                    </w:rPr>
                    <w:t>（</w:t>
                  </w:r>
                  <w:r>
                    <w:rPr>
                      <w:rFonts w:hint="eastAsia"/>
                      <w:spacing w:val="9"/>
                      <w:lang w:val="en-US" w:eastAsia="zh-CN"/>
                    </w:rPr>
                    <w:t>4</w:t>
                  </w:r>
                  <w:r>
                    <w:rPr>
                      <w:rFonts w:hint="eastAsia"/>
                      <w:spacing w:val="9"/>
                      <w:lang w:eastAsia="zh-CN"/>
                    </w:rPr>
                    <w:t>-07-02-03）</w:t>
                  </w:r>
                </w:p>
              </w:tc>
              <w:tc>
                <w:tcPr>
                  <w:tcW w:w="1930" w:type="dxa"/>
                  <w:noWrap w:val="0"/>
                  <w:vAlign w:val="top"/>
                </w:tcPr>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spacing w:line="240" w:lineRule="auto"/>
                    <w:textAlignment w:val="auto"/>
                    <w:outlineLvl w:val="9"/>
                    <w:rPr>
                      <w:rFonts w:ascii="Arial"/>
                      <w:sz w:val="21"/>
                    </w:rPr>
                  </w:pPr>
                </w:p>
                <w:p>
                  <w:pPr>
                    <w:keepNext w:val="0"/>
                    <w:keepLines w:val="0"/>
                    <w:pageBreakBefore w:val="0"/>
                    <w:kinsoku/>
                    <w:wordWrap/>
                    <w:overflowPunct/>
                    <w:topLinePunct w:val="0"/>
                    <w:autoSpaceDE/>
                    <w:autoSpaceDN/>
                    <w:bidi w:val="0"/>
                    <w:adjustRightInd w:val="0"/>
                    <w:snapToGrid w:val="0"/>
                    <w:spacing w:line="240" w:lineRule="auto"/>
                    <w:jc w:val="both"/>
                    <w:textAlignment w:val="auto"/>
                    <w:outlineLvl w:val="9"/>
                  </w:pPr>
                  <w:r>
                    <w:rPr>
                      <w:rFonts w:hint="eastAsia" w:ascii="宋体" w:hAnsi="宋体" w:eastAsia="宋体" w:cs="宋体"/>
                      <w:spacing w:val="4"/>
                      <w:kern w:val="2"/>
                      <w:position w:val="11"/>
                      <w:sz w:val="20"/>
                      <w:szCs w:val="20"/>
                      <w:lang w:val="en-US" w:eastAsia="en-US" w:bidi="ar-SA"/>
                    </w:rPr>
                    <w:t>跨境电商营销</w:t>
                  </w:r>
                  <w:r>
                    <w:rPr>
                      <w:rFonts w:ascii="宋体" w:hAnsi="宋体" w:eastAsia="宋体" w:cs="宋体"/>
                      <w:spacing w:val="4"/>
                      <w:kern w:val="2"/>
                      <w:position w:val="11"/>
                      <w:sz w:val="20"/>
                      <w:szCs w:val="20"/>
                      <w:lang w:val="en-US" w:eastAsia="en-US" w:bidi="ar-SA"/>
                    </w:rPr>
                    <w:t>推</w:t>
                  </w:r>
                  <w:r>
                    <w:rPr>
                      <w:spacing w:val="4"/>
                      <w:position w:val="11"/>
                    </w:rPr>
                    <w:t>广；</w:t>
                  </w:r>
                </w:p>
                <w:p>
                  <w:pPr>
                    <w:pStyle w:val="21"/>
                    <w:keepNext w:val="0"/>
                    <w:keepLines w:val="0"/>
                    <w:pageBreakBefore w:val="0"/>
                    <w:kinsoku/>
                    <w:wordWrap/>
                    <w:overflowPunct/>
                    <w:topLinePunct w:val="0"/>
                    <w:autoSpaceDE/>
                    <w:autoSpaceDN/>
                    <w:bidi w:val="0"/>
                    <w:spacing w:line="240" w:lineRule="auto"/>
                    <w:ind w:left="32"/>
                    <w:textAlignment w:val="auto"/>
                    <w:outlineLvl w:val="9"/>
                  </w:pPr>
                  <w:r>
                    <w:rPr>
                      <w:rFonts w:hint="eastAsia"/>
                      <w:spacing w:val="6"/>
                      <w:lang w:val="en-US" w:eastAsia="zh-CN"/>
                    </w:rPr>
                    <w:t>跨境电商</w:t>
                  </w:r>
                  <w:r>
                    <w:rPr>
                      <w:spacing w:val="6"/>
                    </w:rPr>
                    <w:t>运营；</w:t>
                  </w:r>
                </w:p>
                <w:p>
                  <w:pPr>
                    <w:pStyle w:val="21"/>
                    <w:keepNext w:val="0"/>
                    <w:keepLines w:val="0"/>
                    <w:pageBreakBefore w:val="0"/>
                    <w:kinsoku/>
                    <w:wordWrap/>
                    <w:overflowPunct/>
                    <w:topLinePunct w:val="0"/>
                    <w:autoSpaceDE/>
                    <w:autoSpaceDN/>
                    <w:bidi w:val="0"/>
                    <w:spacing w:line="240" w:lineRule="auto"/>
                    <w:ind w:left="29" w:leftChars="0"/>
                    <w:textAlignment w:val="auto"/>
                    <w:outlineLvl w:val="9"/>
                    <w:rPr>
                      <w:rFonts w:hint="default" w:ascii="宋体" w:hAnsi="宋体" w:eastAsia="宋体" w:cs="宋体"/>
                      <w:b/>
                      <w:bCs/>
                      <w:color w:val="auto"/>
                      <w:sz w:val="21"/>
                      <w:szCs w:val="21"/>
                      <w:lang w:val="en-US"/>
                    </w:rPr>
                  </w:pPr>
                  <w:r>
                    <w:rPr>
                      <w:rFonts w:hint="eastAsia" w:ascii="宋体" w:hAnsi="宋体" w:eastAsia="宋体" w:cs="宋体"/>
                      <w:color w:val="auto"/>
                      <w:kern w:val="0"/>
                      <w:sz w:val="21"/>
                      <w:szCs w:val="21"/>
                      <w:lang w:val="en-US" w:eastAsia="zh-CN"/>
                    </w:rPr>
                    <w:t>跨境电商客服</w:t>
                  </w:r>
                </w:p>
              </w:tc>
              <w:tc>
                <w:tcPr>
                  <w:tcW w:w="1798" w:type="dxa"/>
                  <w:noWrap w:val="0"/>
                  <w:vAlign w:val="top"/>
                </w:tcPr>
                <w:p>
                  <w:pPr>
                    <w:pStyle w:val="21"/>
                    <w:keepNext w:val="0"/>
                    <w:keepLines w:val="0"/>
                    <w:pageBreakBefore w:val="0"/>
                    <w:kinsoku/>
                    <w:wordWrap/>
                    <w:overflowPunct/>
                    <w:topLinePunct w:val="0"/>
                    <w:autoSpaceDE/>
                    <w:autoSpaceDN/>
                    <w:bidi w:val="0"/>
                    <w:spacing w:line="240" w:lineRule="auto"/>
                    <w:ind w:left="51" w:right="255" w:hanging="20"/>
                    <w:textAlignment w:val="auto"/>
                    <w:outlineLvl w:val="9"/>
                  </w:pPr>
                  <w:r>
                    <w:rPr>
                      <w:spacing w:val="9"/>
                    </w:rPr>
                    <w:t>初级跨境电子商务员</w:t>
                  </w:r>
                  <w:r>
                    <w:rPr>
                      <w:spacing w:val="5"/>
                    </w:rPr>
                    <w:t>电子商务员</w:t>
                  </w:r>
                </w:p>
                <w:p>
                  <w:pPr>
                    <w:pStyle w:val="21"/>
                    <w:keepNext w:val="0"/>
                    <w:keepLines w:val="0"/>
                    <w:pageBreakBefore w:val="0"/>
                    <w:kinsoku/>
                    <w:wordWrap/>
                    <w:overflowPunct/>
                    <w:topLinePunct w:val="0"/>
                    <w:autoSpaceDE/>
                    <w:autoSpaceDN/>
                    <w:bidi w:val="0"/>
                    <w:spacing w:line="240" w:lineRule="auto"/>
                    <w:ind w:left="53"/>
                    <w:textAlignment w:val="auto"/>
                    <w:outlineLvl w:val="9"/>
                  </w:pPr>
                  <w:r>
                    <w:rPr>
                      <w:spacing w:val="6"/>
                    </w:rPr>
                    <w:t>国际商务单证员</w:t>
                  </w:r>
                </w:p>
                <w:p>
                  <w:pPr>
                    <w:pStyle w:val="21"/>
                    <w:keepNext w:val="0"/>
                    <w:keepLines w:val="0"/>
                    <w:pageBreakBefore w:val="0"/>
                    <w:kinsoku/>
                    <w:wordWrap/>
                    <w:overflowPunct/>
                    <w:topLinePunct w:val="0"/>
                    <w:autoSpaceDE/>
                    <w:autoSpaceDN/>
                    <w:bidi w:val="0"/>
                    <w:spacing w:line="240" w:lineRule="auto"/>
                    <w:ind w:left="23" w:right="56" w:firstLine="27"/>
                    <w:textAlignment w:val="auto"/>
                    <w:outlineLvl w:val="9"/>
                  </w:pPr>
                  <w:r>
                    <w:rPr>
                      <w:spacing w:val="8"/>
                    </w:rPr>
                    <w:t>1+X电子商务数据分析</w:t>
                  </w:r>
                  <w:r>
                    <w:rPr>
                      <w:spacing w:val="11"/>
                    </w:rPr>
                    <w:t>（中级）</w:t>
                  </w:r>
                </w:p>
                <w:p>
                  <w:pPr>
                    <w:pStyle w:val="21"/>
                    <w:keepNext w:val="0"/>
                    <w:keepLines w:val="0"/>
                    <w:pageBreakBefore w:val="0"/>
                    <w:kinsoku/>
                    <w:wordWrap/>
                    <w:overflowPunct/>
                    <w:topLinePunct w:val="0"/>
                    <w:autoSpaceDE/>
                    <w:autoSpaceDN/>
                    <w:bidi w:val="0"/>
                    <w:spacing w:line="240" w:lineRule="auto"/>
                    <w:ind w:left="31" w:leftChars="0"/>
                    <w:textAlignment w:val="auto"/>
                    <w:outlineLvl w:val="9"/>
                    <w:rPr>
                      <w:rFonts w:hint="eastAsia" w:ascii="宋体" w:hAnsi="宋体" w:eastAsia="宋体" w:cs="宋体"/>
                      <w:color w:val="auto"/>
                      <w:sz w:val="21"/>
                      <w:szCs w:val="21"/>
                      <w:lang w:val="en-US" w:eastAsia="zh-CN"/>
                    </w:rPr>
                  </w:pPr>
                  <w:r>
                    <w:rPr>
                      <w:spacing w:val="9"/>
                    </w:rPr>
                    <w:t>互联网营销员</w:t>
                  </w:r>
                </w:p>
              </w:tc>
            </w:tr>
          </w:tbl>
          <w:p>
            <w:pPr>
              <w:keepNext w:val="0"/>
              <w:keepLines w:val="0"/>
              <w:pageBreakBefore w:val="0"/>
              <w:kinsoku/>
              <w:wordWrap/>
              <w:overflowPunct/>
              <w:topLinePunct w:val="0"/>
              <w:autoSpaceDE/>
              <w:autoSpaceDN/>
              <w:bidi w:val="0"/>
              <w:spacing w:line="360" w:lineRule="auto"/>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五、培养目标与培养规格</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（一）培养目标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本专业培养为社会主义现代化建设服务，理想信念坚定，德、智、体、美、劳全面发展，适应新疆区域经济发展和社会发展的需要，具有一定的科学文化水平，良好的人文素养、职业道德和创新意识，精益求精的工匠精神，较强的就业能力和可持续发展的能力，掌握外贸业务和跨境电商业务，能熟练运用俄语进行商务沟通并能够开展线上线下营销活动，熟悉国内外法律法规并开拓国内外市场，能够运用跨境电子商务多平台进行创业创新等专业技术技能，具备认知能力、合作能力、创新能力、职业能力等支撑终身发展、适应时代要求的关键能力，具有较强的就业创业能力，面向外贸和跨境电商领域，能够从事商务经营管理等工作的高素质技术技能人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（二）培养规格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本专业毕业生应具备的素质、知识和能力等方面达到以下要求：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1.素质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热爱祖国，坚定拥护中国共产党领导和社会主义制度。努力学习马克思列宁主义、毛泽东思想、中国特色社会主义理论体系，在习近平新时代中国特色社会主义思想指引下，增强“四个意识”，坚定“四个自信”，坚定拥护“两个确立”，坚决做到“两个维护”。积极维护民族团结，不断增强“五个认同”，切实铸牢中华民族共同体意识。践行社会主义核心价值观，争做扎根边疆、奉献边疆的新时代新青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（2）崇尚宪法、遵法守纪、崇德向善、诚实守信、尊重生命、热爱劳动，履行道德准则和行为规范，具有社会责任感和社会参与意识。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（3）具有质量意识、环保意识、安全意识、信息素养、工匠精神、创新思维。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（4）勇于奋斗、乐观向上，具有自我管理、自主学习能力、职业生涯规划和终身学习的意识，具有较强的集体意识和团队合作精神。</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（5）具有健康的体魄、心理和健全的人格，掌握基本运动知识和1-2项运动技能，养成良好的健身和卫生习惯，以及良好的行为习惯。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（6）具有一定的审美和人文素养，能够形成1-2项艺术特长或爱好。</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（1）掌握必备的思想政治理论、科学文化基础知识和中华优秀传统文化知识。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（2）熟悉与本专业相关的法律法规以及环境保护、安全消防等知识。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（3）熟悉与本专业相关的法律法规以及环境保护、安全消防等知识。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（4）掌握计算机应用、网络技术的基本理论，跨境电子商务的基本理论以及新技术、</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新业态、新模式、创新创业相关知识。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（5）掌握市场分析、消费者行为分析及营销策划的方法。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（6）掌握商品拍摄、图形图像处理和网络文案写作的方法。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（7）掌握跨境电子商务数据统计分析和报告撰写以及客户服务与管理的相关知识。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（8）掌握主流跨境电子商务平台的运营规则和推广方式，跨境跨境电子商务平台和新媒体运营与管理的方法。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（9）掌握跨境网店运营规范与流程以及供应链与供应商管理的相关知识。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（1）具有探究学习、终身学习、分析问题和解决问题的能力。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（2）具有良好的语言、文字表达能力和沟通能力。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（3）具备一定的哲学、美学、伦理、计算、数据、交互、互联网思维能力。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（4）能够针对不同国家和地区消费者的特点，采购适销的产品，并具有供应链管理的能力；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（5）具备能够根据摄影色彩、构图策略进行创意拍摄，制作突出商品卖点的商品照片；能够运用相关软件对图片进行处理，提高用户关注度能力。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（6）具有在阿里巴巴国际站、速卖通、Amazon、eBay等不同跨境电商平台上注册店铺、上传和发布产品的能力；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（7）具有利用沟通工具和国外客户交流、沟通、服务的能力，维护客户关系、处理客户邮件及查询、提供售前售后咨询服务、订单追踪信息、处理客户投诉等；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（8）具备能够根据运营日标采集跨境电子商务平台数据，并依据店铺、产品和客户等各类数据，对其进行分析与预测的能力。</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（9）具有国际物流和通关的能力，熟悉国际物流订单处理和发货流程（含产品分拣、包装、出库、物流跟踪），及办理产品通关。</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4．主要职业岗位能力分析</w:t>
            </w:r>
          </w:p>
          <w:tbl>
            <w:tblPr>
              <w:tblStyle w:val="13"/>
              <w:tblW w:w="89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138"/>
              <w:gridCol w:w="2233"/>
              <w:gridCol w:w="2970"/>
              <w:gridCol w:w="2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exact"/>
                <w:jc w:val="center"/>
              </w:trPr>
              <w:tc>
                <w:tcPr>
                  <w:tcW w:w="624" w:type="dxa"/>
                  <w:noWrap w:val="0"/>
                  <w:vAlign w:val="center"/>
                </w:tcPr>
                <w:p>
                  <w:pPr>
                    <w:spacing w:after="156" w:afterLines="50" w:line="360" w:lineRule="auto"/>
                    <w:jc w:val="center"/>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序号</w:t>
                  </w:r>
                </w:p>
              </w:tc>
              <w:tc>
                <w:tcPr>
                  <w:tcW w:w="1138" w:type="dxa"/>
                  <w:noWrap w:val="0"/>
                  <w:vAlign w:val="center"/>
                </w:tcPr>
                <w:p>
                  <w:pPr>
                    <w:spacing w:after="156" w:afterLines="50" w:line="360" w:lineRule="auto"/>
                    <w:jc w:val="center"/>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职业岗位</w:t>
                  </w:r>
                </w:p>
              </w:tc>
              <w:tc>
                <w:tcPr>
                  <w:tcW w:w="2233" w:type="dxa"/>
                  <w:noWrap w:val="0"/>
                  <w:vAlign w:val="center"/>
                </w:tcPr>
                <w:p>
                  <w:pPr>
                    <w:spacing w:after="156" w:afterLines="50" w:line="360" w:lineRule="auto"/>
                    <w:jc w:val="center"/>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典型工作任务</w:t>
                  </w:r>
                </w:p>
              </w:tc>
              <w:tc>
                <w:tcPr>
                  <w:tcW w:w="2970" w:type="dxa"/>
                  <w:noWrap w:val="0"/>
                  <w:vAlign w:val="center"/>
                </w:tcPr>
                <w:p>
                  <w:pPr>
                    <w:spacing w:after="156" w:afterLines="50" w:line="360" w:lineRule="auto"/>
                    <w:jc w:val="center"/>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职业能力</w:t>
                  </w:r>
                </w:p>
              </w:tc>
              <w:tc>
                <w:tcPr>
                  <w:tcW w:w="2012" w:type="dxa"/>
                  <w:noWrap w:val="0"/>
                  <w:vAlign w:val="center"/>
                </w:tcPr>
                <w:p>
                  <w:pPr>
                    <w:spacing w:after="156" w:afterLines="50" w:line="360" w:lineRule="auto"/>
                    <w:jc w:val="center"/>
                    <w:outlineLvl w:val="9"/>
                    <w:rPr>
                      <w:rFonts w:hint="eastAsia" w:ascii="宋体" w:hAnsi="宋体" w:eastAsia="宋体" w:cs="宋体"/>
                      <w:b/>
                      <w:bCs/>
                      <w:color w:val="auto"/>
                      <w:sz w:val="21"/>
                      <w:szCs w:val="21"/>
                      <w:vertAlign w:val="baseline"/>
                      <w:lang w:eastAsia="zh-CN"/>
                    </w:rPr>
                  </w:pPr>
                  <w:r>
                    <w:rPr>
                      <w:rFonts w:hint="eastAsia" w:ascii="宋体" w:hAnsi="宋体" w:eastAsia="宋体" w:cs="宋体"/>
                      <w:b/>
                      <w:bCs/>
                      <w:color w:val="auto"/>
                      <w:sz w:val="21"/>
                      <w:szCs w:val="21"/>
                      <w:vertAlign w:val="baseline"/>
                      <w:lang w:eastAsia="zh-CN"/>
                    </w:rPr>
                    <w:t>支撑课程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exact"/>
                <w:jc w:val="center"/>
              </w:trPr>
              <w:tc>
                <w:tcPr>
                  <w:tcW w:w="624" w:type="dxa"/>
                  <w:vMerge w:val="restart"/>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w:t>
                  </w:r>
                </w:p>
              </w:tc>
              <w:tc>
                <w:tcPr>
                  <w:tcW w:w="1138" w:type="dxa"/>
                  <w:vMerge w:val="restart"/>
                  <w:noWrap w:val="0"/>
                  <w:vAlign w:val="center"/>
                </w:tcPr>
                <w:p>
                  <w:pPr>
                    <w:adjustRightInd w:val="0"/>
                    <w:snapToGrid w:val="0"/>
                    <w:jc w:val="center"/>
                    <w:outlineLvl w:val="9"/>
                    <w:rPr>
                      <w:rFonts w:ascii="宋体" w:hAnsi="宋体" w:eastAsia="宋体" w:cs="宋体"/>
                      <w:spacing w:val="4"/>
                      <w:kern w:val="2"/>
                      <w:position w:val="11"/>
                      <w:sz w:val="20"/>
                      <w:szCs w:val="20"/>
                      <w:lang w:val="en-US" w:eastAsia="en-US" w:bidi="ar-SA"/>
                    </w:rPr>
                  </w:pPr>
                  <w:r>
                    <w:rPr>
                      <w:rFonts w:hint="eastAsia" w:ascii="宋体" w:hAnsi="宋体" w:eastAsia="宋体" w:cs="宋体"/>
                      <w:spacing w:val="4"/>
                      <w:kern w:val="2"/>
                      <w:position w:val="11"/>
                      <w:sz w:val="20"/>
                      <w:szCs w:val="20"/>
                      <w:lang w:val="en-US" w:eastAsia="en-US" w:bidi="ar-SA"/>
                    </w:rPr>
                    <w:t>跨境电商</w:t>
                  </w:r>
                </w:p>
                <w:p>
                  <w:pPr>
                    <w:pStyle w:val="21"/>
                    <w:spacing w:line="223" w:lineRule="auto"/>
                    <w:ind w:left="32"/>
                    <w:outlineLvl w:val="9"/>
                  </w:pPr>
                  <w:r>
                    <w:rPr>
                      <w:rFonts w:hint="eastAsia" w:ascii="宋体" w:hAnsi="宋体" w:eastAsia="宋体" w:cs="宋体"/>
                      <w:spacing w:val="4"/>
                      <w:kern w:val="2"/>
                      <w:position w:val="11"/>
                      <w:sz w:val="20"/>
                      <w:szCs w:val="20"/>
                      <w:lang w:val="en-US" w:eastAsia="en-US" w:bidi="ar-SA"/>
                    </w:rPr>
                    <w:t>营销</w:t>
                  </w:r>
                </w:p>
                <w:p>
                  <w:pPr>
                    <w:widowControl/>
                    <w:jc w:val="center"/>
                    <w:outlineLvl w:val="9"/>
                    <w:rPr>
                      <w:rFonts w:hint="eastAsia" w:ascii="宋体" w:hAnsi="宋体" w:eastAsia="宋体" w:cs="宋体"/>
                      <w:color w:val="auto"/>
                      <w:kern w:val="0"/>
                      <w:sz w:val="21"/>
                      <w:szCs w:val="21"/>
                      <w:lang w:val="en-US" w:eastAsia="zh-CN"/>
                    </w:rPr>
                  </w:pPr>
                </w:p>
              </w:tc>
              <w:tc>
                <w:tcPr>
                  <w:tcW w:w="2233" w:type="dxa"/>
                  <w:noWrap w:val="0"/>
                  <w:vAlign w:val="center"/>
                </w:tcPr>
                <w:p>
                  <w:pPr>
                    <w:adjustRightInd w:val="0"/>
                    <w:snapToGrid w:val="0"/>
                    <w:jc w:val="center"/>
                    <w:outlineLvl w:val="9"/>
                    <w:rPr>
                      <w:rFonts w:hint="default"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提供广告方案，进行广告投放，监控广告实际投放效果</w:t>
                  </w:r>
                </w:p>
              </w:tc>
              <w:tc>
                <w:tcPr>
                  <w:tcW w:w="2970" w:type="dxa"/>
                  <w:noWrap w:val="0"/>
                  <w:vAlign w:val="center"/>
                </w:tcPr>
                <w:p>
                  <w:pPr>
                    <w:adjustRightInd w:val="0"/>
                    <w:snapToGrid w:val="0"/>
                    <w:jc w:val="center"/>
                    <w:outlineLvl w:val="9"/>
                    <w:rPr>
                      <w:rFonts w:hint="default"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熟悉网络营销的方法与技巧，了解国外各类社交网络平台，</w:t>
                  </w:r>
                </w:p>
              </w:tc>
              <w:tc>
                <w:tcPr>
                  <w:tcW w:w="2012" w:type="dxa"/>
                  <w:vMerge w:val="restart"/>
                  <w:noWrap w:val="0"/>
                  <w:vAlign w:val="center"/>
                </w:tcPr>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szCs w:val="21"/>
                      <w:lang w:val="en-US" w:eastAsia="zh-CN"/>
                    </w:rPr>
                    <w:t>跨境电子商务实务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exact"/>
                <w:jc w:val="center"/>
              </w:trPr>
              <w:tc>
                <w:tcPr>
                  <w:tcW w:w="624"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1138"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2233" w:type="dxa"/>
                  <w:noWrap w:val="0"/>
                  <w:vAlign w:val="center"/>
                </w:tcPr>
                <w:p>
                  <w:pPr>
                    <w:adjustRightInd w:val="0"/>
                    <w:snapToGrid w:val="0"/>
                    <w:jc w:val="center"/>
                    <w:outlineLvl w:val="9"/>
                    <w:rPr>
                      <w:rFonts w:hint="default"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海外推广投放分析及数据分析</w:t>
                  </w:r>
                </w:p>
              </w:tc>
              <w:tc>
                <w:tcPr>
                  <w:tcW w:w="2970" w:type="dxa"/>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熟悉网络传播特点，能进行广告策划短视频的策划和执行</w:t>
                  </w:r>
                </w:p>
              </w:tc>
              <w:tc>
                <w:tcPr>
                  <w:tcW w:w="2012"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exact"/>
                <w:jc w:val="center"/>
              </w:trPr>
              <w:tc>
                <w:tcPr>
                  <w:tcW w:w="624"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1138"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2233" w:type="dxa"/>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制定营销计划、确定营销战略目标，进行持续的产品营销推广，吸引流量</w:t>
                  </w:r>
                </w:p>
              </w:tc>
              <w:tc>
                <w:tcPr>
                  <w:tcW w:w="2970" w:type="dxa"/>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熟悉平台运营规则，能熟练运用商务数据进行境外消费者行为分析、国际市场调研、跨境电商网络渠道分析等，制定营销计划；</w:t>
                  </w:r>
                </w:p>
              </w:tc>
              <w:tc>
                <w:tcPr>
                  <w:tcW w:w="2012"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exact"/>
                <w:jc w:val="center"/>
              </w:trPr>
              <w:tc>
                <w:tcPr>
                  <w:tcW w:w="624" w:type="dxa"/>
                  <w:vMerge w:val="restart"/>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w:t>
                  </w:r>
                </w:p>
                <w:p>
                  <w:pPr>
                    <w:widowControl/>
                    <w:jc w:val="center"/>
                    <w:outlineLvl w:val="9"/>
                    <w:rPr>
                      <w:rFonts w:hint="eastAsia" w:ascii="宋体" w:hAnsi="宋体" w:eastAsia="宋体" w:cs="宋体"/>
                      <w:color w:val="auto"/>
                      <w:kern w:val="0"/>
                      <w:sz w:val="21"/>
                      <w:szCs w:val="21"/>
                      <w:lang w:val="en-US" w:eastAsia="zh-CN"/>
                    </w:rPr>
                  </w:pPr>
                </w:p>
              </w:tc>
              <w:tc>
                <w:tcPr>
                  <w:tcW w:w="1138" w:type="dxa"/>
                  <w:vMerge w:val="restart"/>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en-US" w:bidi="ar-SA"/>
                    </w:rPr>
                  </w:pPr>
                  <w:r>
                    <w:rPr>
                      <w:rFonts w:hint="eastAsia" w:ascii="宋体" w:hAnsi="宋体" w:eastAsia="宋体" w:cs="宋体"/>
                      <w:spacing w:val="4"/>
                      <w:kern w:val="2"/>
                      <w:position w:val="11"/>
                      <w:sz w:val="20"/>
                      <w:szCs w:val="20"/>
                      <w:lang w:val="en-US" w:eastAsia="en-US" w:bidi="ar-SA"/>
                    </w:rPr>
                    <w:t>跨境电商</w:t>
                  </w:r>
                </w:p>
                <w:p>
                  <w:pPr>
                    <w:adjustRightInd w:val="0"/>
                    <w:snapToGrid w:val="0"/>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spacing w:val="4"/>
                      <w:kern w:val="2"/>
                      <w:position w:val="11"/>
                      <w:sz w:val="20"/>
                      <w:szCs w:val="20"/>
                      <w:lang w:val="en-US" w:eastAsia="en-US" w:bidi="ar-SA"/>
                    </w:rPr>
                    <w:t>运营</w:t>
                  </w:r>
                </w:p>
              </w:tc>
              <w:tc>
                <w:tcPr>
                  <w:tcW w:w="2233" w:type="dxa"/>
                  <w:noWrap w:val="0"/>
                  <w:vAlign w:val="center"/>
                </w:tcPr>
                <w:p>
                  <w:pPr>
                    <w:widowControl/>
                    <w:jc w:val="center"/>
                    <w:outlineLvl w:val="9"/>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1</w:t>
                  </w:r>
                  <w:r>
                    <w:rPr>
                      <w:rFonts w:hint="eastAsia" w:ascii="宋体" w:hAnsi="宋体" w:eastAsia="宋体" w:cs="宋体"/>
                      <w:color w:val="auto"/>
                      <w:kern w:val="0"/>
                      <w:sz w:val="21"/>
                      <w:szCs w:val="21"/>
                      <w:lang w:eastAsia="zh-CN"/>
                    </w:rPr>
                    <w:t>）</w:t>
                  </w:r>
                  <w:r>
                    <w:rPr>
                      <w:rFonts w:hint="eastAsia" w:ascii="宋体" w:hAnsi="宋体" w:eastAsia="宋体" w:cs="宋体"/>
                      <w:color w:val="auto"/>
                      <w:kern w:val="0"/>
                      <w:sz w:val="21"/>
                      <w:szCs w:val="21"/>
                      <w:lang w:val="en-US" w:eastAsia="zh-CN"/>
                    </w:rPr>
                    <w:t>跨境电商美工</w:t>
                  </w:r>
                </w:p>
              </w:tc>
              <w:tc>
                <w:tcPr>
                  <w:tcW w:w="2970" w:type="dxa"/>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zh-CN" w:eastAsia="en-US" w:bidi="ar-SA"/>
                    </w:rPr>
                    <w:t>具有美学和视觉营销知识，能熟练操作PS软件，制作精美的图片</w:t>
                  </w:r>
                </w:p>
              </w:tc>
              <w:tc>
                <w:tcPr>
                  <w:tcW w:w="2012" w:type="dxa"/>
                  <w:noWrap w:val="0"/>
                  <w:vAlign w:val="center"/>
                </w:tcPr>
                <w:p>
                  <w:pPr>
                    <w:adjustRightInd w:val="0"/>
                    <w:snapToGrid w:val="0"/>
                    <w:jc w:val="center"/>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en-US" w:eastAsia="zh-CN" w:bidi="ar-SA"/>
                    </w:rPr>
                    <w:t>跨境电商</w:t>
                  </w:r>
                  <w:r>
                    <w:rPr>
                      <w:rFonts w:hint="eastAsia" w:ascii="宋体" w:hAnsi="宋体" w:eastAsia="宋体" w:cs="宋体"/>
                      <w:spacing w:val="4"/>
                      <w:kern w:val="2"/>
                      <w:position w:val="11"/>
                      <w:sz w:val="20"/>
                      <w:szCs w:val="20"/>
                      <w:lang w:val="en-US" w:eastAsia="en-US" w:bidi="ar-SA"/>
                    </w:rPr>
                    <w:t>视觉营销</w:t>
                  </w:r>
                  <w:r>
                    <w:rPr>
                      <w:rFonts w:hint="eastAsia" w:ascii="宋体" w:hAnsi="宋体" w:eastAsia="宋体" w:cs="宋体"/>
                      <w:spacing w:val="4"/>
                      <w:kern w:val="2"/>
                      <w:position w:val="11"/>
                      <w:sz w:val="20"/>
                      <w:szCs w:val="20"/>
                      <w:lang w:val="en-US" w:eastAsia="zh-CN" w:bidi="ar-SA"/>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1" w:hRule="exact"/>
                <w:jc w:val="center"/>
              </w:trPr>
              <w:tc>
                <w:tcPr>
                  <w:tcW w:w="624" w:type="dxa"/>
                  <w:vMerge w:val="continue"/>
                  <w:noWrap w:val="0"/>
                  <w:vAlign w:val="center"/>
                </w:tcPr>
                <w:p>
                  <w:pPr>
                    <w:spacing w:after="156" w:afterLines="50" w:line="360" w:lineRule="auto"/>
                    <w:jc w:val="center"/>
                    <w:outlineLvl w:val="9"/>
                    <w:rPr>
                      <w:rFonts w:hint="eastAsia" w:ascii="宋体" w:hAnsi="宋体" w:eastAsia="宋体" w:cs="宋体"/>
                      <w:color w:val="auto"/>
                      <w:sz w:val="21"/>
                      <w:szCs w:val="21"/>
                      <w:vertAlign w:val="baseline"/>
                      <w:lang w:eastAsia="zh-CN"/>
                    </w:rPr>
                  </w:pPr>
                </w:p>
              </w:tc>
              <w:tc>
                <w:tcPr>
                  <w:tcW w:w="1138" w:type="dxa"/>
                  <w:vMerge w:val="continue"/>
                  <w:noWrap w:val="0"/>
                  <w:vAlign w:val="center"/>
                </w:tcPr>
                <w:p>
                  <w:pPr>
                    <w:spacing w:after="156" w:afterLines="50" w:line="360" w:lineRule="auto"/>
                    <w:jc w:val="center"/>
                    <w:outlineLvl w:val="9"/>
                    <w:rPr>
                      <w:rFonts w:hint="eastAsia" w:ascii="宋体" w:hAnsi="宋体" w:eastAsia="宋体" w:cs="宋体"/>
                      <w:color w:val="auto"/>
                      <w:sz w:val="21"/>
                      <w:szCs w:val="21"/>
                      <w:vertAlign w:val="baseline"/>
                      <w:lang w:eastAsia="zh-CN"/>
                    </w:rPr>
                  </w:pPr>
                </w:p>
              </w:tc>
              <w:tc>
                <w:tcPr>
                  <w:tcW w:w="2233"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（2）网店运营、营销数据分析</w:t>
                  </w:r>
                </w:p>
              </w:tc>
              <w:tc>
                <w:tcPr>
                  <w:tcW w:w="2970" w:type="dxa"/>
                  <w:noWrap w:val="0"/>
                  <w:vAlign w:val="center"/>
                </w:tcPr>
                <w:p>
                  <w:pPr>
                    <w:adjustRightInd w:val="0"/>
                    <w:snapToGrid w:val="0"/>
                    <w:jc w:val="left"/>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spacing w:val="4"/>
                      <w:kern w:val="2"/>
                      <w:position w:val="11"/>
                      <w:sz w:val="20"/>
                      <w:szCs w:val="20"/>
                      <w:lang w:val="en-US" w:eastAsia="zh-CN" w:bidi="ar-SA"/>
                    </w:rPr>
                    <w:t>网店开设、装修、推广、运营能力；网站后台数据分析</w:t>
                  </w:r>
                </w:p>
              </w:tc>
              <w:tc>
                <w:tcPr>
                  <w:tcW w:w="2012" w:type="dxa"/>
                  <w:noWrap w:val="0"/>
                  <w:vAlign w:val="center"/>
                </w:tcPr>
                <w:p>
                  <w:pPr>
                    <w:adjustRightInd w:val="0"/>
                    <w:snapToGrid w:val="0"/>
                    <w:jc w:val="left"/>
                    <w:outlineLvl w:val="9"/>
                    <w:rPr>
                      <w:rFonts w:hint="eastAsia" w:ascii="宋体" w:hAnsi="宋体" w:eastAsia="宋体" w:cs="宋体"/>
                      <w:spacing w:val="4"/>
                      <w:kern w:val="2"/>
                      <w:position w:val="11"/>
                      <w:sz w:val="20"/>
                      <w:szCs w:val="20"/>
                      <w:lang w:val="en-US" w:eastAsia="zh-CN" w:bidi="ar-SA"/>
                    </w:rPr>
                  </w:pPr>
                  <w:r>
                    <w:rPr>
                      <w:rFonts w:hint="eastAsia" w:ascii="宋体" w:hAnsi="宋体" w:eastAsia="宋体" w:cs="宋体"/>
                      <w:color w:val="auto"/>
                      <w:szCs w:val="21"/>
                    </w:rPr>
                    <w:t>跨境电商运营B2C</w:t>
                  </w:r>
                  <w:r>
                    <w:rPr>
                      <w:rFonts w:hint="eastAsia" w:ascii="宋体" w:hAnsi="宋体" w:eastAsia="宋体" w:cs="宋体"/>
                      <w:spacing w:val="4"/>
                      <w:kern w:val="2"/>
                      <w:position w:val="11"/>
                      <w:sz w:val="20"/>
                      <w:szCs w:val="20"/>
                      <w:lang w:val="en-US" w:eastAsia="zh-CN" w:bidi="ar-SA"/>
                    </w:rPr>
                    <w:t>跨境电子商务数据分析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exact"/>
                <w:jc w:val="center"/>
              </w:trPr>
              <w:tc>
                <w:tcPr>
                  <w:tcW w:w="624" w:type="dxa"/>
                  <w:vMerge w:val="continue"/>
                  <w:noWrap w:val="0"/>
                  <w:vAlign w:val="center"/>
                </w:tcPr>
                <w:p>
                  <w:pPr>
                    <w:widowControl/>
                    <w:jc w:val="center"/>
                    <w:outlineLvl w:val="9"/>
                    <w:rPr>
                      <w:rFonts w:hint="eastAsia" w:ascii="宋体" w:hAnsi="宋体" w:eastAsia="宋体" w:cs="宋体"/>
                      <w:color w:val="auto"/>
                      <w:kern w:val="0"/>
                      <w:sz w:val="21"/>
                      <w:szCs w:val="21"/>
                      <w:lang w:val="en-US" w:eastAsia="zh-CN"/>
                    </w:rPr>
                  </w:pPr>
                </w:p>
              </w:tc>
              <w:tc>
                <w:tcPr>
                  <w:tcW w:w="1138" w:type="dxa"/>
                  <w:vMerge w:val="continue"/>
                  <w:noWrap w:val="0"/>
                  <w:vAlign w:val="center"/>
                </w:tcPr>
                <w:p>
                  <w:pPr>
                    <w:widowControl/>
                    <w:jc w:val="center"/>
                    <w:outlineLvl w:val="9"/>
                    <w:rPr>
                      <w:rFonts w:hint="eastAsia" w:ascii="宋体" w:hAnsi="宋体" w:eastAsia="宋体" w:cs="宋体"/>
                      <w:color w:val="auto"/>
                      <w:kern w:val="0"/>
                      <w:sz w:val="21"/>
                      <w:szCs w:val="21"/>
                      <w:lang w:val="en-US" w:eastAsia="zh-CN"/>
                    </w:rPr>
                  </w:pPr>
                </w:p>
              </w:tc>
              <w:tc>
                <w:tcPr>
                  <w:tcW w:w="2233" w:type="dxa"/>
                  <w:noWrap w:val="0"/>
                  <w:vAlign w:val="center"/>
                </w:tcPr>
                <w:p>
                  <w:pPr>
                    <w:widowControl/>
                    <w:jc w:val="left"/>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（3）跨境采购、</w:t>
                  </w:r>
                  <w:r>
                    <w:rPr>
                      <w:rFonts w:hint="eastAsia" w:ascii="宋体" w:hAnsi="宋体" w:eastAsia="宋体" w:cs="宋体"/>
                      <w:color w:val="auto"/>
                      <w:kern w:val="0"/>
                      <w:sz w:val="21"/>
                      <w:szCs w:val="21"/>
                      <w:lang w:val="zh-CN" w:eastAsia="zh-CN"/>
                    </w:rPr>
                    <w:t>跨境电商物流供应链管理</w:t>
                  </w:r>
                </w:p>
              </w:tc>
              <w:tc>
                <w:tcPr>
                  <w:tcW w:w="2970"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zh-CN" w:eastAsia="zh-CN"/>
                    </w:rPr>
                    <w:t>能针对不同国家和地区消费者的特点，采购适销的产品</w:t>
                  </w:r>
                </w:p>
              </w:tc>
              <w:tc>
                <w:tcPr>
                  <w:tcW w:w="2012"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国际物流</w:t>
                  </w:r>
                </w:p>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国际贸易实务</w:t>
                  </w:r>
                </w:p>
                <w:p>
                  <w:pPr>
                    <w:widowControl/>
                    <w:jc w:val="center"/>
                    <w:outlineLvl w:val="9"/>
                    <w:rPr>
                      <w:rFonts w:hint="default" w:ascii="宋体" w:hAnsi="宋体" w:eastAsia="宋体" w:cs="宋体"/>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2" w:hRule="exact"/>
                <w:jc w:val="center"/>
              </w:trPr>
              <w:tc>
                <w:tcPr>
                  <w:tcW w:w="624" w:type="dxa"/>
                  <w:vMerge w:val="restart"/>
                  <w:noWrap w:val="0"/>
                  <w:vAlign w:val="center"/>
                </w:tcPr>
                <w:p>
                  <w:pPr>
                    <w:widowControl/>
                    <w:jc w:val="center"/>
                    <w:outlineLvl w:val="9"/>
                    <w:rPr>
                      <w:rFonts w:hint="eastAsia" w:ascii="宋体" w:hAnsi="宋体" w:eastAsia="宋体" w:cs="宋体"/>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3</w:t>
                  </w:r>
                </w:p>
              </w:tc>
              <w:tc>
                <w:tcPr>
                  <w:tcW w:w="1138" w:type="dxa"/>
                  <w:vMerge w:val="restart"/>
                  <w:noWrap w:val="0"/>
                  <w:vAlign w:val="center"/>
                </w:tcPr>
                <w:p>
                  <w:pPr>
                    <w:widowControl/>
                    <w:jc w:val="center"/>
                    <w:outlineLvl w:val="9"/>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跨境电商客服</w:t>
                  </w:r>
                </w:p>
              </w:tc>
              <w:tc>
                <w:tcPr>
                  <w:tcW w:w="2233"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（1）跨境客户服务</w:t>
                  </w:r>
                </w:p>
              </w:tc>
              <w:tc>
                <w:tcPr>
                  <w:tcW w:w="2970"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网上客户反馈信息处理、网上商品流程跟踪、网上客户投诉处理能力</w:t>
                  </w:r>
                </w:p>
              </w:tc>
              <w:tc>
                <w:tcPr>
                  <w:tcW w:w="2012" w:type="dxa"/>
                  <w:noWrap w:val="0"/>
                  <w:vAlign w:val="center"/>
                </w:tcPr>
                <w:p>
                  <w:pPr>
                    <w:widowControl/>
                    <w:jc w:val="center"/>
                    <w:outlineLvl w:val="9"/>
                    <w:rPr>
                      <w:rFonts w:hint="default" w:ascii="宋体" w:hAnsi="宋体" w:eastAsia="宋体" w:cs="宋体"/>
                      <w:color w:val="auto"/>
                      <w:kern w:val="0"/>
                      <w:sz w:val="21"/>
                      <w:szCs w:val="21"/>
                      <w:lang w:val="en-US" w:eastAsia="zh-CN"/>
                    </w:rPr>
                  </w:pPr>
                  <w:r>
                    <w:rPr>
                      <w:rFonts w:hint="eastAsia" w:ascii="宋体" w:hAnsi="宋体" w:eastAsia="宋体" w:cs="宋体"/>
                      <w:color w:val="auto"/>
                      <w:szCs w:val="21"/>
                    </w:rPr>
                    <w:t>跨境电商客户服务</w:t>
                  </w:r>
                  <w:r>
                    <w:rPr>
                      <w:rFonts w:hint="eastAsia" w:ascii="宋体" w:hAnsi="宋体" w:eastAsia="宋体" w:cs="宋体"/>
                      <w:color w:val="auto"/>
                      <w:kern w:val="0"/>
                      <w:sz w:val="21"/>
                      <w:szCs w:val="21"/>
                      <w:lang w:val="en-US" w:eastAsia="zh-CN"/>
                    </w:rPr>
                    <w:t>电子商务俄语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8" w:hRule="exact"/>
                <w:jc w:val="center"/>
              </w:trPr>
              <w:tc>
                <w:tcPr>
                  <w:tcW w:w="624" w:type="dxa"/>
                  <w:vMerge w:val="continue"/>
                  <w:noWrap w:val="0"/>
                  <w:vAlign w:val="center"/>
                </w:tcPr>
                <w:p>
                  <w:pPr>
                    <w:widowControl/>
                    <w:jc w:val="center"/>
                    <w:outlineLvl w:val="9"/>
                    <w:rPr>
                      <w:rFonts w:hint="eastAsia" w:ascii="宋体" w:hAnsi="宋体" w:eastAsia="宋体" w:cs="宋体"/>
                      <w:color w:val="auto"/>
                      <w:kern w:val="0"/>
                      <w:sz w:val="21"/>
                      <w:szCs w:val="21"/>
                      <w:highlight w:val="yellow"/>
                      <w:lang w:val="en-US" w:eastAsia="zh-CN"/>
                    </w:rPr>
                  </w:pPr>
                </w:p>
              </w:tc>
              <w:tc>
                <w:tcPr>
                  <w:tcW w:w="1138" w:type="dxa"/>
                  <w:vMerge w:val="continue"/>
                  <w:noWrap w:val="0"/>
                  <w:vAlign w:val="center"/>
                </w:tcPr>
                <w:p>
                  <w:pPr>
                    <w:widowControl/>
                    <w:jc w:val="center"/>
                    <w:outlineLvl w:val="9"/>
                    <w:rPr>
                      <w:rFonts w:hint="eastAsia" w:ascii="宋体" w:hAnsi="宋体" w:eastAsia="宋体" w:cs="宋体"/>
                      <w:color w:val="auto"/>
                      <w:kern w:val="0"/>
                      <w:sz w:val="21"/>
                      <w:szCs w:val="21"/>
                      <w:lang w:val="en-US" w:eastAsia="zh-CN"/>
                    </w:rPr>
                  </w:pPr>
                </w:p>
              </w:tc>
              <w:tc>
                <w:tcPr>
                  <w:tcW w:w="2233"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（2）跨境客户管理</w:t>
                  </w:r>
                </w:p>
              </w:tc>
              <w:tc>
                <w:tcPr>
                  <w:tcW w:w="2970"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跨境客户信息分级分类管理;</w:t>
                  </w:r>
                </w:p>
                <w:p>
                  <w:pPr>
                    <w:widowControl/>
                    <w:jc w:val="center"/>
                    <w:outlineLvl w:val="9"/>
                    <w:rPr>
                      <w:rFonts w:hint="eastAsia"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收集个人客户和企业客户的信息内容能利用数据库及时建立、变更客户信息档案</w:t>
                  </w:r>
                </w:p>
                <w:p>
                  <w:pPr>
                    <w:widowControl/>
                    <w:jc w:val="center"/>
                    <w:outlineLvl w:val="9"/>
                    <w:rPr>
                      <w:rFonts w:hint="eastAsia" w:ascii="宋体" w:hAnsi="宋体" w:eastAsia="宋体" w:cs="宋体"/>
                      <w:color w:val="auto"/>
                      <w:kern w:val="0"/>
                      <w:sz w:val="21"/>
                      <w:szCs w:val="21"/>
                      <w:lang w:val="en-US" w:eastAsia="zh-CN"/>
                    </w:rPr>
                  </w:pPr>
                </w:p>
              </w:tc>
              <w:tc>
                <w:tcPr>
                  <w:tcW w:w="2012" w:type="dxa"/>
                  <w:noWrap w:val="0"/>
                  <w:vAlign w:val="center"/>
                </w:tcPr>
                <w:p>
                  <w:pPr>
                    <w:widowControl/>
                    <w:jc w:val="center"/>
                    <w:outlineLvl w:val="9"/>
                    <w:rPr>
                      <w:rFonts w:hint="default" w:ascii="宋体" w:hAnsi="宋体" w:eastAsia="宋体" w:cs="宋体"/>
                      <w:color w:val="auto"/>
                      <w:kern w:val="0"/>
                      <w:sz w:val="21"/>
                      <w:szCs w:val="21"/>
                      <w:lang w:val="en-US" w:eastAsia="zh-CN"/>
                    </w:rPr>
                  </w:pPr>
                  <w:r>
                    <w:rPr>
                      <w:rFonts w:hint="eastAsia" w:ascii="宋体" w:hAnsi="宋体" w:eastAsia="宋体" w:cs="宋体"/>
                      <w:color w:val="auto"/>
                      <w:kern w:val="0"/>
                      <w:sz w:val="21"/>
                      <w:szCs w:val="21"/>
                      <w:lang w:val="en-US" w:eastAsia="zh-CN"/>
                    </w:rPr>
                    <w:t>消费者行为分析</w:t>
                  </w:r>
                </w:p>
              </w:tc>
            </w:tr>
          </w:tbl>
          <w:p>
            <w:pPr>
              <w:keepNext w:val="0"/>
              <w:keepLines w:val="0"/>
              <w:pageBreakBefore w:val="0"/>
              <w:kinsoku/>
              <w:wordWrap/>
              <w:overflowPunct/>
              <w:topLinePunct w:val="0"/>
              <w:autoSpaceDE/>
              <w:autoSpaceDN/>
              <w:bidi w:val="0"/>
              <w:spacing w:line="360" w:lineRule="auto"/>
              <w:ind w:firstLine="562" w:firstLineChars="200"/>
              <w:outlineLvl w:val="9"/>
              <w:rPr>
                <w:rFonts w:hint="eastAsia" w:ascii="黑体" w:hAnsi="黑体" w:eastAsia="黑体" w:cs="Times New Roman"/>
                <w:b/>
                <w:bCs/>
                <w:sz w:val="28"/>
                <w:szCs w:val="28"/>
                <w:highlight w:val="none"/>
                <w:lang w:val="en-US" w:eastAsia="zh-CN"/>
              </w:rPr>
            </w:pPr>
          </w:p>
          <w:p>
            <w:pPr>
              <w:keepNext w:val="0"/>
              <w:keepLines w:val="0"/>
              <w:pageBreakBefore w:val="0"/>
              <w:kinsoku/>
              <w:wordWrap/>
              <w:overflowPunct/>
              <w:topLinePunct w:val="0"/>
              <w:autoSpaceDE/>
              <w:autoSpaceDN/>
              <w:bidi w:val="0"/>
              <w:spacing w:line="360" w:lineRule="auto"/>
              <w:ind w:firstLine="562" w:firstLineChars="200"/>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六、课程设置及要求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（一）课程设置</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1.课程结构</w:t>
            </w:r>
          </w:p>
          <w:p>
            <w:pPr>
              <w:keepNext w:val="0"/>
              <w:keepLines w:val="0"/>
              <w:pageBreakBefore w:val="0"/>
              <w:widowControl w:val="0"/>
              <w:kinsoku/>
              <w:wordWrap/>
              <w:overflowPunct/>
              <w:topLinePunct w:val="0"/>
              <w:autoSpaceDE/>
              <w:autoSpaceDN/>
              <w:bidi w:val="0"/>
              <w:adjustRightInd/>
              <w:snapToGrid/>
              <w:spacing w:after="156" w:afterLines="50" w:line="500" w:lineRule="exact"/>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本专业课程按“平台+模块”设置，由公共平台课程（含思政模块、通识模块）、专业平台课程（含专业基础模块、专业核心模块和专业实践模块）、综合素质拓展平台课程（含知识素质模块、职业能力模块和创新创业模块）组成。课程分为A类课程（理论课）、B类课程（理论+实践课）、C类课程（集中实践课）三种类型，课程性质分为必修、选修（限选、任选）两种。</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2.课程地图</w:t>
            </w:r>
          </w:p>
          <w:p>
            <w:pPr>
              <w:keepNext w:val="0"/>
              <w:keepLines w:val="0"/>
              <w:pageBreakBefore w:val="0"/>
              <w:widowControl w:val="0"/>
              <w:kinsoku/>
              <w:wordWrap/>
              <w:overflowPunct/>
              <w:topLinePunct w:val="0"/>
              <w:autoSpaceDE/>
              <w:autoSpaceDN/>
              <w:bidi w:val="0"/>
              <w:adjustRightInd/>
              <w:snapToGrid/>
              <w:spacing w:after="156" w:afterLines="50" w:line="360" w:lineRule="auto"/>
              <w:jc w:val="center"/>
              <w:textAlignment w:val="auto"/>
              <w:outlineLvl w:val="9"/>
              <w:rPr>
                <w:rFonts w:hint="eastAsia" w:ascii="宋体" w:hAnsi="宋体" w:eastAsia="宋体" w:cs="宋体"/>
                <w:bCs/>
                <w:color w:val="auto"/>
                <w:kern w:val="0"/>
                <w:sz w:val="24"/>
                <w:szCs w:val="24"/>
                <w:lang w:val="en-US" w:eastAsia="zh-CN"/>
              </w:rPr>
            </w:pPr>
            <w:r>
              <w:drawing>
                <wp:inline distT="0" distB="0" distL="114300" distR="114300">
                  <wp:extent cx="4151630" cy="4488180"/>
                  <wp:effectExtent l="0" t="0" r="1270" b="7620"/>
                  <wp:docPr id="4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9"/>
                          <pic:cNvPicPr>
                            <a:picLocks noChangeAspect="1"/>
                          </pic:cNvPicPr>
                        </pic:nvPicPr>
                        <pic:blipFill>
                          <a:blip r:embed="rId21"/>
                          <a:srcRect b="5714"/>
                          <a:stretch>
                            <a:fillRect/>
                          </a:stretch>
                        </pic:blipFill>
                        <pic:spPr>
                          <a:xfrm>
                            <a:off x="0" y="0"/>
                            <a:ext cx="4151630" cy="44881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3.专业核心课程</w:t>
            </w:r>
          </w:p>
          <w:tbl>
            <w:tblPr>
              <w:tblStyle w:val="13"/>
              <w:tblW w:w="8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1490"/>
              <w:gridCol w:w="67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8" w:hRule="atLeast"/>
                <w:jc w:val="center"/>
              </w:trPr>
              <w:tc>
                <w:tcPr>
                  <w:tcW w:w="782" w:type="dxa"/>
                  <w:noWrap w:val="0"/>
                  <w:vAlign w:val="center"/>
                </w:tcPr>
                <w:p>
                  <w:pPr>
                    <w:spacing w:line="240" w:lineRule="auto"/>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序号</w:t>
                  </w:r>
                </w:p>
              </w:tc>
              <w:tc>
                <w:tcPr>
                  <w:tcW w:w="1490" w:type="dxa"/>
                  <w:noWrap w:val="0"/>
                  <w:vAlign w:val="center"/>
                </w:tcPr>
                <w:p>
                  <w:pPr>
                    <w:spacing w:line="240" w:lineRule="auto"/>
                    <w:jc w:val="center"/>
                    <w:outlineLvl w:val="9"/>
                    <w:rPr>
                      <w:rFonts w:hint="eastAsia" w:ascii="宋体" w:hAnsi="宋体" w:eastAsia="宋体" w:cs="宋体"/>
                      <w:b/>
                      <w:bCs/>
                      <w:color w:val="auto"/>
                      <w:sz w:val="21"/>
                      <w:szCs w:val="21"/>
                    </w:rPr>
                  </w:pPr>
                  <w:r>
                    <w:rPr>
                      <w:rFonts w:hint="eastAsia" w:ascii="宋体" w:hAnsi="宋体" w:eastAsia="宋体" w:cs="宋体"/>
                      <w:b/>
                      <w:bCs/>
                      <w:color w:val="auto"/>
                      <w:sz w:val="21"/>
                      <w:szCs w:val="21"/>
                    </w:rPr>
                    <w:t>专业核心课程名称</w:t>
                  </w:r>
                </w:p>
              </w:tc>
              <w:tc>
                <w:tcPr>
                  <w:tcW w:w="6706" w:type="dxa"/>
                  <w:noWrap w:val="0"/>
                  <w:vAlign w:val="center"/>
                </w:tcPr>
                <w:p>
                  <w:pPr>
                    <w:spacing w:line="240" w:lineRule="auto"/>
                    <w:jc w:val="center"/>
                    <w:outlineLvl w:val="9"/>
                    <w:rPr>
                      <w:rFonts w:hint="eastAsia" w:ascii="宋体" w:hAnsi="宋体" w:eastAsia="宋体" w:cs="宋体"/>
                      <w:b/>
                      <w:bCs/>
                      <w:color w:val="auto"/>
                      <w:sz w:val="21"/>
                      <w:szCs w:val="21"/>
                      <w:lang w:eastAsia="zh-CN"/>
                    </w:rPr>
                  </w:pPr>
                  <w:r>
                    <w:rPr>
                      <w:rFonts w:hint="eastAsia" w:ascii="宋体" w:hAnsi="宋体" w:eastAsia="宋体" w:cs="宋体"/>
                      <w:b/>
                      <w:bCs/>
                      <w:color w:val="auto"/>
                      <w:sz w:val="21"/>
                      <w:szCs w:val="21"/>
                    </w:rPr>
                    <w:t>主要教学内容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1</w:t>
                  </w:r>
                </w:p>
              </w:tc>
              <w:tc>
                <w:tcPr>
                  <w:tcW w:w="1490"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跨境</w:t>
                  </w:r>
                  <w:r>
                    <w:rPr>
                      <w:rFonts w:hint="eastAsia" w:ascii="宋体" w:hAnsi="宋体" w:eastAsia="宋体" w:cs="宋体"/>
                      <w:color w:val="auto"/>
                      <w:sz w:val="21"/>
                      <w:szCs w:val="21"/>
                    </w:rPr>
                    <w:t>电商视觉营销设计</w:t>
                  </w:r>
                </w:p>
              </w:tc>
              <w:tc>
                <w:tcPr>
                  <w:tcW w:w="6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通过理实一体化的教学</w:t>
                  </w:r>
                  <w:r>
                    <w:rPr>
                      <w:rFonts w:hint="eastAsia" w:ascii="宋体" w:hAnsi="宋体" w:eastAsia="宋体" w:cs="宋体"/>
                      <w:color w:val="auto"/>
                      <w:sz w:val="21"/>
                      <w:szCs w:val="21"/>
                      <w:lang w:val="en-US" w:eastAsia="zh-CN"/>
                    </w:rPr>
                    <w:t>方法</w:t>
                  </w:r>
                  <w:r>
                    <w:rPr>
                      <w:rFonts w:hint="eastAsia" w:ascii="宋体" w:hAnsi="宋体" w:eastAsia="宋体" w:cs="宋体"/>
                      <w:color w:val="auto"/>
                      <w:sz w:val="21"/>
                      <w:szCs w:val="21"/>
                    </w:rPr>
                    <w:t>，采用项目实战的教学</w:t>
                  </w:r>
                  <w:r>
                    <w:rPr>
                      <w:rFonts w:hint="eastAsia" w:ascii="宋体" w:hAnsi="宋体" w:eastAsia="宋体" w:cs="宋体"/>
                      <w:color w:val="auto"/>
                      <w:sz w:val="21"/>
                      <w:szCs w:val="21"/>
                      <w:lang w:val="en-US" w:eastAsia="zh-CN"/>
                    </w:rPr>
                    <w:t>案例</w:t>
                  </w:r>
                  <w:r>
                    <w:rPr>
                      <w:rFonts w:hint="eastAsia" w:ascii="宋体" w:hAnsi="宋体" w:eastAsia="宋体" w:cs="宋体"/>
                      <w:color w:val="auto"/>
                      <w:sz w:val="21"/>
                      <w:szCs w:val="21"/>
                    </w:rPr>
                    <w:t>，培养学生运用网络资源，深入理解网店视觉营销基础知识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掌握网店布局、文案视觉、商品主图设计、直通车推广图设计、钻石广告设计和</w:t>
                  </w:r>
                  <w:r>
                    <w:rPr>
                      <w:rFonts w:hint="eastAsia" w:ascii="宋体" w:hAnsi="宋体" w:eastAsia="宋体" w:cs="宋体"/>
                      <w:color w:val="auto"/>
                      <w:sz w:val="21"/>
                      <w:szCs w:val="21"/>
                      <w:lang w:val="en-US" w:eastAsia="zh-CN"/>
                    </w:rPr>
                    <w:t>产品图片细节优化</w:t>
                  </w:r>
                  <w:r>
                    <w:rPr>
                      <w:rFonts w:hint="eastAsia" w:ascii="宋体" w:hAnsi="宋体" w:eastAsia="宋体" w:cs="宋体"/>
                      <w:color w:val="auto"/>
                      <w:sz w:val="21"/>
                      <w:szCs w:val="21"/>
                    </w:rPr>
                    <w:t>等职业能力</w:t>
                  </w:r>
                  <w:r>
                    <w:rPr>
                      <w:rFonts w:hint="eastAsia" w:ascii="宋体" w:hAnsi="宋体" w:eastAsia="宋体" w:cs="宋体"/>
                      <w:color w:val="auto"/>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9"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2</w:t>
                  </w:r>
                </w:p>
              </w:tc>
              <w:tc>
                <w:tcPr>
                  <w:tcW w:w="1490" w:type="dxa"/>
                  <w:noWrap w:val="0"/>
                  <w:vAlign w:val="center"/>
                </w:tcPr>
                <w:p>
                  <w:pPr>
                    <w:spacing w:line="460" w:lineRule="exact"/>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跨境电子商务实务</w:t>
                  </w:r>
                </w:p>
              </w:tc>
              <w:tc>
                <w:tcPr>
                  <w:tcW w:w="6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内容：主要跨境电商平台的营销特点和要求；平台选品与优化策略；搜索引擎营销的基本原理和方法；关键词策略与优化技巧；主要社交媒体平台的营销特点和要求；社交媒体内容策划与执行等。</w:t>
                  </w:r>
                </w:p>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rPr>
                  </w:pPr>
                  <w:r>
                    <w:rPr>
                      <w:rFonts w:hint="eastAsia" w:ascii="宋体" w:hAnsi="宋体" w:eastAsia="宋体" w:cs="宋体"/>
                      <w:color w:val="auto"/>
                      <w:sz w:val="21"/>
                      <w:szCs w:val="21"/>
                    </w:rPr>
                    <w:t>要求：掌握跨境电商营销的基本概念、方法和流程；熟悉常见的跨境电商平台和社交媒体平台的营销特点和要求，能够进行实践操作；能够根据产品或品牌特点，制定有效的营销策略。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6"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3</w:t>
                  </w:r>
                </w:p>
              </w:tc>
              <w:tc>
                <w:tcPr>
                  <w:tcW w:w="1490" w:type="dxa"/>
                  <w:noWrap w:val="0"/>
                  <w:vAlign w:val="center"/>
                </w:tcPr>
                <w:p>
                  <w:pPr>
                    <w:spacing w:line="460" w:lineRule="exact"/>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电子商务俄语</w:t>
                  </w:r>
                </w:p>
              </w:tc>
              <w:tc>
                <w:tcPr>
                  <w:tcW w:w="6706" w:type="dxa"/>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before="257" w:line="340" w:lineRule="exact"/>
                    <w:ind w:left="34" w:right="27" w:firstLine="17"/>
                    <w:textAlignment w:val="auto"/>
                    <w:outlineLvl w:val="9"/>
                    <w:rPr>
                      <w:rFonts w:hint="eastAsia" w:ascii="宋体" w:hAnsi="宋体" w:eastAsia="宋体" w:cs="宋体"/>
                      <w:sz w:val="21"/>
                      <w:szCs w:val="21"/>
                    </w:rPr>
                  </w:pPr>
                  <w:r>
                    <w:rPr>
                      <w:rFonts w:hint="eastAsia" w:ascii="宋体" w:hAnsi="宋体" w:eastAsia="宋体" w:cs="宋体"/>
                      <w:spacing w:val="9"/>
                      <w:sz w:val="21"/>
                      <w:szCs w:val="21"/>
                    </w:rPr>
                    <w:t>内容：跨境电商平台简介、产品及店铺描述、营销推广</w:t>
                  </w:r>
                  <w:r>
                    <w:rPr>
                      <w:rFonts w:hint="eastAsia" w:ascii="宋体" w:hAnsi="宋体" w:eastAsia="宋体" w:cs="宋体"/>
                      <w:spacing w:val="9"/>
                      <w:sz w:val="21"/>
                      <w:szCs w:val="21"/>
                      <w:lang w:val="en-US" w:eastAsia="zh-CN"/>
                    </w:rPr>
                    <w:t>俄语</w:t>
                  </w:r>
                  <w:r>
                    <w:rPr>
                      <w:rFonts w:hint="eastAsia" w:ascii="宋体" w:hAnsi="宋体" w:eastAsia="宋体" w:cs="宋体"/>
                      <w:spacing w:val="9"/>
                      <w:sz w:val="21"/>
                      <w:szCs w:val="21"/>
                    </w:rPr>
                    <w:t>、售前交流</w:t>
                  </w:r>
                  <w:r>
                    <w:rPr>
                      <w:rFonts w:hint="eastAsia" w:ascii="宋体" w:hAnsi="宋体" w:eastAsia="宋体" w:cs="宋体"/>
                      <w:spacing w:val="9"/>
                      <w:sz w:val="21"/>
                      <w:szCs w:val="21"/>
                      <w:lang w:val="en-US" w:eastAsia="zh-CN"/>
                    </w:rPr>
                    <w:t>俄语</w:t>
                  </w:r>
                  <w:r>
                    <w:rPr>
                      <w:rFonts w:hint="eastAsia" w:ascii="宋体" w:hAnsi="宋体" w:eastAsia="宋体" w:cs="宋体"/>
                      <w:spacing w:val="9"/>
                      <w:sz w:val="21"/>
                      <w:szCs w:val="21"/>
                    </w:rPr>
                    <w:t>、售中交流</w:t>
                  </w:r>
                  <w:r>
                    <w:rPr>
                      <w:rFonts w:hint="eastAsia" w:ascii="宋体" w:hAnsi="宋体" w:eastAsia="宋体" w:cs="宋体"/>
                      <w:spacing w:val="9"/>
                      <w:sz w:val="21"/>
                      <w:szCs w:val="21"/>
                      <w:lang w:val="en-US" w:eastAsia="zh-CN"/>
                    </w:rPr>
                    <w:t>俄语</w:t>
                  </w:r>
                  <w:r>
                    <w:rPr>
                      <w:rFonts w:hint="eastAsia" w:ascii="宋体" w:hAnsi="宋体" w:eastAsia="宋体" w:cs="宋体"/>
                      <w:spacing w:val="9"/>
                      <w:sz w:val="21"/>
                      <w:szCs w:val="21"/>
                    </w:rPr>
                    <w:t>、售后交流</w:t>
                  </w:r>
                  <w:r>
                    <w:rPr>
                      <w:rFonts w:hint="eastAsia" w:ascii="宋体" w:hAnsi="宋体" w:eastAsia="宋体" w:cs="宋体"/>
                      <w:spacing w:val="9"/>
                      <w:sz w:val="21"/>
                      <w:szCs w:val="21"/>
                      <w:lang w:val="en-US" w:eastAsia="zh-CN"/>
                    </w:rPr>
                    <w:t>俄语</w:t>
                  </w:r>
                  <w:r>
                    <w:rPr>
                      <w:rFonts w:hint="eastAsia" w:ascii="宋体" w:hAnsi="宋体" w:eastAsia="宋体" w:cs="宋体"/>
                      <w:spacing w:val="9"/>
                      <w:sz w:val="21"/>
                      <w:szCs w:val="21"/>
                    </w:rPr>
                    <w:t>、</w:t>
                  </w:r>
                  <w:r>
                    <w:rPr>
                      <w:rFonts w:hint="eastAsia" w:ascii="宋体" w:hAnsi="宋体" w:eastAsia="宋体" w:cs="宋体"/>
                      <w:spacing w:val="9"/>
                      <w:sz w:val="21"/>
                      <w:szCs w:val="21"/>
                      <w:lang w:val="en-US" w:eastAsia="zh-CN"/>
                    </w:rPr>
                    <w:t>俄语</w:t>
                  </w:r>
                  <w:r>
                    <w:rPr>
                      <w:rFonts w:hint="eastAsia" w:ascii="宋体" w:hAnsi="宋体" w:eastAsia="宋体" w:cs="宋体"/>
                      <w:spacing w:val="9"/>
                      <w:sz w:val="21"/>
                      <w:szCs w:val="21"/>
                    </w:rPr>
                    <w:t>语后台操作介绍、商品分类介绍</w:t>
                  </w:r>
                </w:p>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spacing w:val="7"/>
                      <w:sz w:val="21"/>
                      <w:szCs w:val="21"/>
                    </w:rPr>
                    <w:t>要求：培养具备扎实的英语基本功和跨境电子商务运作能力，能够从事国际贸易、网络</w:t>
                  </w:r>
                  <w:r>
                    <w:rPr>
                      <w:rFonts w:hint="eastAsia" w:ascii="宋体" w:hAnsi="宋体" w:eastAsia="宋体" w:cs="宋体"/>
                      <w:spacing w:val="8"/>
                      <w:sz w:val="21"/>
                      <w:szCs w:val="21"/>
                    </w:rPr>
                    <w:t>贸易和跨境电子商务业务操作能力。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8"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4</w:t>
                  </w:r>
                </w:p>
              </w:tc>
              <w:tc>
                <w:tcPr>
                  <w:tcW w:w="1490"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跨境电商客户服务</w:t>
                  </w:r>
                </w:p>
              </w:tc>
              <w:tc>
                <w:tcPr>
                  <w:tcW w:w="6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spacing w:val="8"/>
                      <w:sz w:val="21"/>
                      <w:szCs w:val="21"/>
                      <w:lang w:val="en-US" w:eastAsia="zh-CN"/>
                    </w:rPr>
                  </w:pPr>
                  <w:r>
                    <w:rPr>
                      <w:rFonts w:hint="eastAsia" w:ascii="宋体" w:hAnsi="宋体" w:eastAsia="宋体" w:cs="宋体"/>
                      <w:color w:val="auto"/>
                      <w:sz w:val="21"/>
                      <w:szCs w:val="21"/>
                      <w:lang w:val="en-US" w:eastAsia="zh-CN"/>
                    </w:rPr>
                    <w:t>内容</w:t>
                  </w:r>
                  <w:r>
                    <w:rPr>
                      <w:rFonts w:hint="eastAsia" w:ascii="宋体" w:hAnsi="宋体" w:eastAsia="宋体" w:cs="宋体"/>
                      <w:spacing w:val="8"/>
                      <w:sz w:val="21"/>
                      <w:szCs w:val="21"/>
                      <w:lang w:val="en-US" w:eastAsia="zh-CN"/>
                    </w:rPr>
                    <w:t>:</w:t>
                  </w:r>
                  <w:r>
                    <w:rPr>
                      <w:rFonts w:hint="eastAsia" w:ascii="宋体" w:hAnsi="宋体" w:eastAsia="宋体" w:cs="宋体"/>
                      <w:spacing w:val="8"/>
                      <w:sz w:val="21"/>
                      <w:szCs w:val="21"/>
                      <w:lang w:val="zh-CN"/>
                    </w:rPr>
                    <w:t>及时处理客户售前咨询服务（邮件回复）和售后投诉问题；与客户沟通，完成销售和售后工作；客户关系管理。</w:t>
                  </w:r>
                </w:p>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spacing w:val="8"/>
                      <w:sz w:val="21"/>
                      <w:szCs w:val="21"/>
                      <w:lang w:val="en-US" w:eastAsia="zh-CN"/>
                    </w:rPr>
                    <w:t>要求：</w:t>
                  </w:r>
                  <w:r>
                    <w:rPr>
                      <w:rFonts w:hint="eastAsia" w:ascii="宋体" w:hAnsi="宋体" w:eastAsia="宋体" w:cs="宋体"/>
                      <w:spacing w:val="8"/>
                      <w:sz w:val="21"/>
                      <w:szCs w:val="21"/>
                      <w:lang w:val="zh-CN"/>
                    </w:rPr>
                    <w:t>能熟练利用沟通工具和客户交流，促成交易；能较好地解决交易纠纷；能进行有效的客户管理，促进建立持续交易的合作关系。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5</w:t>
                  </w:r>
                </w:p>
              </w:tc>
              <w:tc>
                <w:tcPr>
                  <w:tcW w:w="1490" w:type="dxa"/>
                  <w:noWrap w:val="0"/>
                  <w:vAlign w:val="center"/>
                </w:tcPr>
                <w:p>
                  <w:pPr>
                    <w:spacing w:line="460" w:lineRule="exact"/>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跨境电商运营B2C</w:t>
                  </w:r>
                </w:p>
              </w:tc>
              <w:tc>
                <w:tcPr>
                  <w:tcW w:w="6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掌握跨境电子商务的基本理论、发展趋势及前景熟悉跨境电商平台的规则及平台操作、业务推广和客户服务</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掌握国际物流和国际支付知识</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掌握对外产品网上定价策略熟知跨境电子商务相关法律法规</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提高学生的跨境电商运营能力。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rPr>
                    <w:t>6</w:t>
                  </w:r>
                </w:p>
              </w:tc>
              <w:tc>
                <w:tcPr>
                  <w:tcW w:w="1490" w:type="dxa"/>
                  <w:noWrap w:val="0"/>
                  <w:vAlign w:val="center"/>
                </w:tcPr>
                <w:p>
                  <w:pPr>
                    <w:spacing w:line="46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跨境电子商务</w:t>
                  </w:r>
                  <w:r>
                    <w:rPr>
                      <w:rFonts w:hint="eastAsia" w:ascii="宋体" w:hAnsi="宋体" w:eastAsia="宋体" w:cs="宋体"/>
                      <w:color w:val="auto"/>
                      <w:sz w:val="21"/>
                      <w:szCs w:val="21"/>
                    </w:rPr>
                    <w:t>数据分析</w:t>
                  </w:r>
                </w:p>
              </w:tc>
              <w:tc>
                <w:tcPr>
                  <w:tcW w:w="6706" w:type="dxa"/>
                  <w:noWrap w:val="0"/>
                  <w:vAlign w:val="center"/>
                </w:tcPr>
                <w:p>
                  <w:pPr>
                    <w:pStyle w:val="21"/>
                    <w:keepNext w:val="0"/>
                    <w:keepLines w:val="0"/>
                    <w:pageBreakBefore w:val="0"/>
                    <w:widowControl w:val="0"/>
                    <w:kinsoku/>
                    <w:wordWrap/>
                    <w:overflowPunct/>
                    <w:topLinePunct w:val="0"/>
                    <w:autoSpaceDE/>
                    <w:autoSpaceDN/>
                    <w:bidi w:val="0"/>
                    <w:adjustRightInd w:val="0"/>
                    <w:snapToGrid w:val="0"/>
                    <w:spacing w:before="65" w:line="340" w:lineRule="exact"/>
                    <w:ind w:left="36" w:firstLine="15"/>
                    <w:textAlignment w:val="auto"/>
                    <w:outlineLvl w:val="9"/>
                    <w:rPr>
                      <w:rFonts w:hint="eastAsia" w:ascii="宋体" w:hAnsi="宋体" w:eastAsia="宋体" w:cs="宋体"/>
                      <w:sz w:val="21"/>
                      <w:szCs w:val="21"/>
                    </w:rPr>
                  </w:pPr>
                  <w:r>
                    <w:rPr>
                      <w:rFonts w:hint="eastAsia" w:ascii="宋体" w:hAnsi="宋体" w:eastAsia="宋体" w:cs="宋体"/>
                      <w:spacing w:val="2"/>
                      <w:sz w:val="21"/>
                      <w:szCs w:val="21"/>
                    </w:rPr>
                    <w:t>内容：数据分析的基本流程，数据分析的常用方法和技巧，数据可视化的基本原则技巧，</w:t>
                  </w:r>
                  <w:r>
                    <w:rPr>
                      <w:rFonts w:hint="eastAsia" w:ascii="宋体" w:hAnsi="宋体" w:eastAsia="宋体" w:cs="宋体"/>
                      <w:spacing w:val="6"/>
                      <w:sz w:val="21"/>
                      <w:szCs w:val="21"/>
                    </w:rPr>
                    <w:t>常用数据可视化工具与软件的使用方法，电子商务数据的分析与解读方法，电子商务数</w:t>
                  </w:r>
                  <w:r>
                    <w:rPr>
                      <w:rFonts w:hint="eastAsia" w:ascii="宋体" w:hAnsi="宋体" w:eastAsia="宋体" w:cs="宋体"/>
                      <w:spacing w:val="7"/>
                      <w:sz w:val="21"/>
                      <w:szCs w:val="21"/>
                    </w:rPr>
                    <w:t>据案例分析与实践操作。</w:t>
                  </w:r>
                </w:p>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spacing w:val="7"/>
                      <w:sz w:val="21"/>
                      <w:szCs w:val="21"/>
                    </w:rPr>
                    <w:t>要求：掌握数据收集、清洗和处理的方法与技巧；熟悉常用数据分析方法和技巧，能够进行数据可视化与呈现；能够从业务角度对电子商务数据进行解读和应用，进行数据驱</w:t>
                  </w:r>
                  <w:r>
                    <w:rPr>
                      <w:rFonts w:hint="eastAsia" w:ascii="宋体" w:hAnsi="宋体" w:eastAsia="宋体" w:cs="宋体"/>
                      <w:spacing w:val="-3"/>
                      <w:sz w:val="21"/>
                      <w:szCs w:val="21"/>
                    </w:rPr>
                    <w:t>动的决策；熟悉常用电子商务数据分析工具（如Excel、Python等</w:t>
                  </w:r>
                  <w:r>
                    <w:rPr>
                      <w:rFonts w:hint="eastAsia" w:ascii="宋体" w:hAnsi="宋体" w:eastAsia="宋体" w:cs="宋体"/>
                      <w:spacing w:val="-7"/>
                      <w:sz w:val="21"/>
                      <w:szCs w:val="21"/>
                    </w:rPr>
                    <w:t>），</w:t>
                  </w:r>
                  <w:r>
                    <w:rPr>
                      <w:rFonts w:hint="eastAsia" w:ascii="宋体" w:hAnsi="宋体" w:eastAsia="宋体" w:cs="宋体"/>
                      <w:spacing w:val="-3"/>
                      <w:sz w:val="21"/>
                      <w:szCs w:val="21"/>
                    </w:rPr>
                    <w:t>具备实践操作能力；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782" w:type="dxa"/>
                  <w:noWrap w:val="0"/>
                  <w:vAlign w:val="center"/>
                </w:tcPr>
                <w:p>
                  <w:pPr>
                    <w:spacing w:line="460" w:lineRule="exact"/>
                    <w:jc w:val="center"/>
                    <w:outlineLvl w:val="9"/>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7</w:t>
                  </w:r>
                </w:p>
              </w:tc>
              <w:tc>
                <w:tcPr>
                  <w:tcW w:w="1490" w:type="dxa"/>
                  <w:noWrap w:val="0"/>
                  <w:vAlign w:val="center"/>
                </w:tcPr>
                <w:p>
                  <w:pPr>
                    <w:adjustRightInd w:val="0"/>
                    <w:snapToGrid w:val="0"/>
                    <w:spacing w:line="420" w:lineRule="exact"/>
                    <w:jc w:val="center"/>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国际贸易实务</w:t>
                  </w:r>
                </w:p>
              </w:tc>
              <w:tc>
                <w:tcPr>
                  <w:tcW w:w="6706"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40" w:lineRule="exact"/>
                    <w:jc w:val="left"/>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掌握</w:t>
                  </w:r>
                  <w:r>
                    <w:rPr>
                      <w:rFonts w:hint="eastAsia" w:ascii="宋体" w:hAnsi="宋体" w:eastAsia="宋体" w:cs="宋体"/>
                      <w:color w:val="auto"/>
                      <w:sz w:val="21"/>
                      <w:szCs w:val="21"/>
                    </w:rPr>
                    <w:t>国际货物买卖的基础理论、基本知识，具备订立和履行国际货物买卖合同的基本操作技能，提高学生分析、研究和解决国际贸易实际问题的能力</w:t>
                  </w:r>
                  <w:r>
                    <w:rPr>
                      <w:rFonts w:hint="eastAsia" w:ascii="宋体" w:hAnsi="宋体" w:eastAsia="宋体" w:cs="宋体"/>
                      <w:color w:val="auto"/>
                      <w:sz w:val="21"/>
                      <w:szCs w:val="21"/>
                      <w:lang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（二）课程介绍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各门课程的课程目标、主要内容和教学要求，见课程</w:t>
            </w:r>
            <w:r>
              <w:rPr>
                <w:rFonts w:hint="eastAsia" w:ascii="宋体" w:hAnsi="宋体" w:eastAsia="宋体" w:cs="宋体"/>
                <w:bCs/>
                <w:color w:val="auto"/>
                <w:kern w:val="0"/>
                <w:sz w:val="24"/>
                <w:szCs w:val="24"/>
                <w:lang w:eastAsia="zh-CN"/>
              </w:rPr>
              <w:t>标准</w:t>
            </w:r>
            <w:r>
              <w:rPr>
                <w:rFonts w:hint="eastAsia" w:ascii="宋体" w:hAnsi="宋体" w:eastAsia="宋体" w:cs="宋体"/>
                <w:bCs/>
                <w:color w:val="auto"/>
                <w:kern w:val="0"/>
                <w:sz w:val="24"/>
                <w:szCs w:val="24"/>
              </w:rPr>
              <w:t>。</w:t>
            </w:r>
          </w:p>
          <w:p>
            <w:pPr>
              <w:keepNext w:val="0"/>
              <w:keepLines w:val="0"/>
              <w:pageBreakBefore w:val="0"/>
              <w:widowControl w:val="0"/>
              <w:kinsoku/>
              <w:wordWrap/>
              <w:overflowPunct/>
              <w:topLinePunct w:val="0"/>
              <w:autoSpaceDE/>
              <w:autoSpaceDN/>
              <w:bidi w:val="0"/>
              <w:spacing w:line="360" w:lineRule="auto"/>
              <w:ind w:firstLine="422" w:firstLineChars="200"/>
              <w:textAlignment w:val="auto"/>
              <w:outlineLvl w:val="9"/>
              <w:rPr>
                <w:rFonts w:hint="eastAsia" w:ascii="黑体" w:hAnsi="黑体" w:eastAsia="黑体" w:cs="Times New Roman"/>
                <w:b/>
                <w:bCs/>
                <w:sz w:val="21"/>
                <w:szCs w:val="21"/>
                <w:highlight w:val="none"/>
                <w:lang w:val="en-US" w:eastAsia="zh-CN"/>
              </w:rPr>
            </w:pPr>
          </w:p>
          <w:p>
            <w:pPr>
              <w:keepNext w:val="0"/>
              <w:keepLines w:val="0"/>
              <w:pageBreakBefore w:val="0"/>
              <w:widowControl w:val="0"/>
              <w:kinsoku/>
              <w:wordWrap/>
              <w:overflowPunct/>
              <w:topLinePunct w:val="0"/>
              <w:autoSpaceDE/>
              <w:autoSpaceDN/>
              <w:bidi w:val="0"/>
              <w:spacing w:line="360" w:lineRule="auto"/>
              <w:ind w:firstLine="562" w:firstLineChars="200"/>
              <w:textAlignment w:val="auto"/>
              <w:outlineLvl w:val="9"/>
              <w:rPr>
                <w:rFonts w:hint="eastAsia" w:ascii="黑体" w:hAnsi="黑体" w:eastAsia="黑体" w:cs="Times New Roman"/>
                <w:b/>
                <w:bCs/>
                <w:sz w:val="28"/>
                <w:szCs w:val="28"/>
                <w:highlight w:val="none"/>
                <w:lang w:val="en-US" w:eastAsia="zh-CN"/>
              </w:rPr>
            </w:pPr>
            <w:r>
              <w:rPr>
                <w:rFonts w:hint="eastAsia" w:ascii="黑体" w:hAnsi="黑体" w:eastAsia="黑体" w:cs="Times New Roman"/>
                <w:b/>
                <w:bCs/>
                <w:sz w:val="28"/>
                <w:szCs w:val="28"/>
                <w:highlight w:val="none"/>
                <w:lang w:val="en-US" w:eastAsia="zh-CN"/>
              </w:rPr>
              <w:t>七、教学进程总体安排</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宋体" w:hAnsi="宋体" w:eastAsia="宋体" w:cs="宋体"/>
                <w:bCs/>
                <w:color w:val="auto"/>
                <w:kern w:val="0"/>
                <w:sz w:val="24"/>
                <w:szCs w:val="24"/>
                <w:lang w:val="en-US" w:eastAsia="zh-CN"/>
              </w:rPr>
            </w:pPr>
            <w:r>
              <w:rPr>
                <w:rFonts w:hint="eastAsia" w:ascii="宋体" w:hAnsi="宋体" w:eastAsia="宋体" w:cs="宋体"/>
                <w:bCs/>
                <w:color w:val="auto"/>
                <w:kern w:val="0"/>
                <w:sz w:val="24"/>
                <w:szCs w:val="24"/>
                <w:lang w:val="en-US" w:eastAsia="zh-CN"/>
              </w:rPr>
              <w:t>本专业总学分为155.5，总学时为2536学时。其中理论课1182学时，占总学时的46.6%，实践课1354学时，占总学时的53.4%；选修课416学时，占总学时的16.4%。</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（一）教学进程总体安排</w:t>
            </w:r>
          </w:p>
          <w:tbl>
            <w:tblPr>
              <w:tblStyle w:val="12"/>
              <w:tblW w:w="89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5"/>
              <w:gridCol w:w="448"/>
              <w:gridCol w:w="442"/>
              <w:gridCol w:w="730"/>
              <w:gridCol w:w="1098"/>
              <w:gridCol w:w="442"/>
              <w:gridCol w:w="366"/>
              <w:gridCol w:w="381"/>
              <w:gridCol w:w="403"/>
              <w:gridCol w:w="403"/>
              <w:gridCol w:w="403"/>
              <w:gridCol w:w="403"/>
              <w:gridCol w:w="403"/>
              <w:gridCol w:w="403"/>
              <w:gridCol w:w="403"/>
              <w:gridCol w:w="403"/>
              <w:gridCol w:w="335"/>
              <w:gridCol w:w="323"/>
              <w:gridCol w:w="8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783" w:type="dxa"/>
                  <w:gridSpan w:val="2"/>
                  <w:vMerge w:val="restart"/>
                  <w:tcBorders>
                    <w:top w:val="single" w:color="000000" w:sz="4" w:space="0"/>
                    <w:left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课程类别</w:t>
                  </w:r>
                </w:p>
              </w:tc>
              <w:tc>
                <w:tcPr>
                  <w:tcW w:w="442"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序号</w:t>
                  </w:r>
                </w:p>
              </w:tc>
              <w:tc>
                <w:tcPr>
                  <w:tcW w:w="730"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课程编码</w:t>
                  </w:r>
                </w:p>
              </w:tc>
              <w:tc>
                <w:tcPr>
                  <w:tcW w:w="1098"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课程名称</w:t>
                  </w:r>
                </w:p>
              </w:tc>
              <w:tc>
                <w:tcPr>
                  <w:tcW w:w="442"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课程性质</w:t>
                  </w:r>
                </w:p>
              </w:tc>
              <w:tc>
                <w:tcPr>
                  <w:tcW w:w="747"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考核方法</w:t>
                  </w:r>
                </w:p>
              </w:tc>
              <w:tc>
                <w:tcPr>
                  <w:tcW w:w="403"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学分</w:t>
                  </w:r>
                </w:p>
              </w:tc>
              <w:tc>
                <w:tcPr>
                  <w:tcW w:w="1209"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学时数分配</w:t>
                  </w:r>
                </w:p>
              </w:tc>
              <w:tc>
                <w:tcPr>
                  <w:tcW w:w="227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授课周学时</w:t>
                  </w:r>
                </w:p>
              </w:tc>
              <w:tc>
                <w:tcPr>
                  <w:tcW w:w="834"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课程归属</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jc w:val="center"/>
              </w:trPr>
              <w:tc>
                <w:tcPr>
                  <w:tcW w:w="783" w:type="dxa"/>
                  <w:gridSpan w:val="2"/>
                  <w:vMerge w:val="continue"/>
                  <w:tcBorders>
                    <w:left w:val="single" w:color="000000" w:sz="4" w:space="0"/>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42"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730"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109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42"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16"/>
                      <w:szCs w:val="16"/>
                      <w:u w:val="none"/>
                    </w:rPr>
                  </w:pPr>
                </w:p>
              </w:tc>
              <w:tc>
                <w:tcPr>
                  <w:tcW w:w="366"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考试</w:t>
                  </w:r>
                </w:p>
              </w:tc>
              <w:tc>
                <w:tcPr>
                  <w:tcW w:w="381"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16"/>
                      <w:szCs w:val="16"/>
                      <w:u w:val="none"/>
                    </w:rPr>
                  </w:pPr>
                  <w:r>
                    <w:rPr>
                      <w:rFonts w:hint="eastAsia" w:ascii="宋体" w:hAnsi="宋体" w:eastAsia="宋体" w:cs="宋体"/>
                      <w:b/>
                      <w:bCs/>
                      <w:i w:val="0"/>
                      <w:iCs w:val="0"/>
                      <w:color w:val="000000"/>
                      <w:kern w:val="0"/>
                      <w:sz w:val="16"/>
                      <w:szCs w:val="16"/>
                      <w:u w:val="none"/>
                      <w:lang w:val="en-US" w:eastAsia="zh-CN" w:bidi="ar"/>
                    </w:rPr>
                    <w:t>考查</w:t>
                  </w:r>
                </w:p>
              </w:tc>
              <w:tc>
                <w:tcPr>
                  <w:tcW w:w="403"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03"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共计</w:t>
                  </w:r>
                </w:p>
              </w:tc>
              <w:tc>
                <w:tcPr>
                  <w:tcW w:w="806" w:type="dxa"/>
                  <w:gridSpan w:val="2"/>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其中</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一</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二</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三</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四</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五</w:t>
                  </w: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六</w:t>
                  </w:r>
                </w:p>
              </w:tc>
              <w:tc>
                <w:tcPr>
                  <w:tcW w:w="8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7" w:hRule="atLeast"/>
                <w:jc w:val="center"/>
              </w:trPr>
              <w:tc>
                <w:tcPr>
                  <w:tcW w:w="783" w:type="dxa"/>
                  <w:gridSpan w:val="2"/>
                  <w:vMerge w:val="continue"/>
                  <w:tcBorders>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42"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730"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109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42"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16"/>
                      <w:szCs w:val="16"/>
                      <w:u w:val="none"/>
                    </w:rPr>
                  </w:pPr>
                </w:p>
              </w:tc>
              <w:tc>
                <w:tcPr>
                  <w:tcW w:w="366"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16"/>
                      <w:szCs w:val="16"/>
                      <w:u w:val="none"/>
                    </w:rPr>
                  </w:pPr>
                </w:p>
              </w:tc>
              <w:tc>
                <w:tcPr>
                  <w:tcW w:w="381"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16"/>
                      <w:szCs w:val="16"/>
                      <w:u w:val="none"/>
                    </w:rPr>
                  </w:pPr>
                </w:p>
              </w:tc>
              <w:tc>
                <w:tcPr>
                  <w:tcW w:w="403"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03"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c>
                <w:tcPr>
                  <w:tcW w:w="40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理论教学</w:t>
                  </w:r>
                </w:p>
              </w:tc>
              <w:tc>
                <w:tcPr>
                  <w:tcW w:w="403" w:type="dxa"/>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实</w:t>
                  </w:r>
                </w:p>
                <w:p>
                  <w:pPr>
                    <w:keepNext w:val="0"/>
                    <w:keepLines w:val="0"/>
                    <w:widowControl/>
                    <w:suppressLineNumbers w:val="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践</w:t>
                  </w:r>
                </w:p>
                <w:p>
                  <w:pPr>
                    <w:keepNext w:val="0"/>
                    <w:keepLines w:val="0"/>
                    <w:widowControl/>
                    <w:suppressLineNumbers w:val="0"/>
                    <w:jc w:val="center"/>
                    <w:textAlignment w:val="center"/>
                    <w:outlineLvl w:val="9"/>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教</w:t>
                  </w:r>
                </w:p>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学</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4</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5</w:t>
                  </w: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b/>
                      <w:bCs/>
                      <w:i w:val="0"/>
                      <w:iCs w:val="0"/>
                      <w:color w:val="000000"/>
                      <w:sz w:val="20"/>
                      <w:szCs w:val="20"/>
                      <w:u w:val="none"/>
                      <w:lang w:val="en-US" w:eastAsia="zh-CN"/>
                    </w:rPr>
                  </w:pPr>
                  <w:r>
                    <w:rPr>
                      <w:rFonts w:hint="eastAsia" w:ascii="宋体" w:hAnsi="宋体" w:eastAsia="宋体" w:cs="宋体"/>
                      <w:b/>
                      <w:bCs/>
                      <w:i w:val="0"/>
                      <w:iCs w:val="0"/>
                      <w:color w:val="000000"/>
                      <w:sz w:val="20"/>
                      <w:szCs w:val="20"/>
                      <w:u w:val="none"/>
                      <w:lang w:val="en-US" w:eastAsia="zh-CN"/>
                    </w:rPr>
                    <w:t>6</w:t>
                  </w:r>
                </w:p>
              </w:tc>
              <w:tc>
                <w:tcPr>
                  <w:tcW w:w="834"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3" w:hRule="atLeast"/>
                <w:jc w:val="center"/>
              </w:trPr>
              <w:tc>
                <w:tcPr>
                  <w:tcW w:w="3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公共平台课程</w:t>
                  </w: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思政模块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0704001A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思想道德与法治</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0"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0705001A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简明新疆地方史教程</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0703001A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马克思主义基本原理</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99"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0702001A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毛泽东思想和中国特色社会主义理论体系概论</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0702003A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习近平新时代中国特色社会主义思想概论</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0701001A-0701004A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形势与政策</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224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restart"/>
                  <w:tcBorders>
                    <w:top w:val="nil"/>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德育教育/法律教育/团课团日活动/防毒品教育/民族团结教育/环保/劳动教育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学生处、团委、保卫处、教务处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入学教育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1403001C</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军事技能（军训）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2周</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军事理论</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nil"/>
                    <w:left w:val="nil"/>
                    <w:bottom w:val="nil"/>
                    <w:right w:val="nil"/>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网络必修课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安全教育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网络必修课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1402003B</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Arial" w:hAnsi="Arial" w:eastAsia="宋体" w:cs="Arial"/>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Arial" w:hAnsi="Arial" w:eastAsia="宋体" w:cs="Arial"/>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default" w:ascii="Arial" w:hAnsi="Arial" w:eastAsia="宋体" w:cs="Arial"/>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1001001B-1001004B</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体育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1401003A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心理健康教育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学生处</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0101003B</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信息技术一</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传媒艺术学院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1002005A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大学语文（语文素养）</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nil"/>
                    <w:left w:val="nil"/>
                    <w:bottom w:val="nil"/>
                    <w:right w:val="nil"/>
                  </w:tcBorders>
                  <w:noWrap/>
                  <w:vAlign w:val="center"/>
                </w:tcPr>
                <w:p>
                  <w:pPr>
                    <w:outlineLvl w:val="9"/>
                    <w:rPr>
                      <w:rFonts w:hint="eastAsia" w:ascii="宋体" w:hAnsi="宋体" w:eastAsia="宋体" w:cs="宋体"/>
                      <w:i w:val="0"/>
                      <w:iCs w:val="0"/>
                      <w:color w:val="000000"/>
                      <w:sz w:val="22"/>
                      <w:szCs w:val="22"/>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FF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1002001A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大学语文（普通话模块）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2"/>
                      <w:szCs w:val="22"/>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通识学院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0802001A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大学语文（应用文写作模块）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2"/>
                      <w:szCs w:val="22"/>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师范教育学院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0804001A-0804002A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职场英语一、二</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师范教育学院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37.5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504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354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restart"/>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专业基础模块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JG2A170</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跨境电商基础</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JG2A171</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outlineLvl w:val="9"/>
                    <w:rPr>
                      <w:rFonts w:hint="eastAsia" w:ascii="宋体" w:hAnsi="宋体" w:eastAsia="宋体" w:cs="宋体"/>
                      <w:i w:val="0"/>
                      <w:iCs w:val="0"/>
                      <w:color w:val="000000"/>
                      <w:sz w:val="20"/>
                      <w:szCs w:val="20"/>
                      <w:u w:val="none"/>
                    </w:rPr>
                  </w:pPr>
                  <w:r>
                    <w:rPr>
                      <w:rFonts w:hint="eastAsia" w:ascii="宋体" w:hAnsi="宋体" w:eastAsia="宋体" w:cs="宋体"/>
                      <w:color w:val="auto"/>
                      <w:kern w:val="0"/>
                      <w:sz w:val="21"/>
                      <w:szCs w:val="21"/>
                      <w:lang w:val="en-US" w:eastAsia="zh-CN"/>
                    </w:rPr>
                    <w:t>国际物流</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JG2A172</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外贸单证</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5"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JG2A173</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消费者行为分析</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JG2A174</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管理学基础</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JG2A175</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跨境电商法律法规</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288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专业核心模块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JG2B170</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跨境电商视觉营销设计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JG2B171</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color w:val="auto"/>
                      <w:szCs w:val="21"/>
                      <w:lang w:val="en-US" w:eastAsia="zh-CN"/>
                    </w:rPr>
                    <w:t>跨境电子商务实务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JG2B172</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电子商务俄语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lang w:val="en-US" w:eastAsia="zh-CN"/>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6"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JG2B173</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color w:val="auto"/>
                      <w:szCs w:val="21"/>
                    </w:rPr>
                    <w:t>跨境电商客户服务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sz w:val="20"/>
                      <w:szCs w:val="20"/>
                      <w:u w:val="none"/>
                      <w:lang w:val="en-US" w:eastAsia="zh-CN"/>
                    </w:rPr>
                    <w:t>3</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5"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JG2B174</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跨境电商运营B2C</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99"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JG2B175</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跨境电子商务数据分析</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JG2B176</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国际贸易实务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416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296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33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restart"/>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专业实践模块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JG2C170</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跨境电商视觉营销实训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JG2C171</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跨境电商综合模拟实训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JG2C172</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互联网+国际贸易综合实训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48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JG2C173</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岗位实习</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28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560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kern w:val="2"/>
                      <w:sz w:val="20"/>
                      <w:szCs w:val="20"/>
                      <w:u w:val="none"/>
                      <w:lang w:val="en-US" w:eastAsia="zh-CN" w:bidi="ar-SA"/>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10w</w:t>
                  </w: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18w</w:t>
                  </w: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jc w:val="center"/>
              </w:trPr>
              <w:tc>
                <w:tcPr>
                  <w:tcW w:w="335" w:type="dxa"/>
                  <w:vMerge w:val="continue"/>
                  <w:tcBorders>
                    <w:top w:val="nil"/>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nil"/>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nil"/>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656</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3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4" w:hRule="atLeast"/>
                <w:jc w:val="center"/>
              </w:trPr>
              <w:tc>
                <w:tcPr>
                  <w:tcW w:w="335"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综合素质拓展平台课程</w:t>
                  </w: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综合知识模块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马克思主义理论类课程</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劳动教育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健康教育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中华文化传统课</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四史教育</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美育课程</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公共艺术鉴赏课</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专题讲座+网络课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04"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大学语文（文学鉴赏）</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线下选修课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信息技术二</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nil"/>
                    <w:left w:val="nil"/>
                    <w:bottom w:val="nil"/>
                    <w:right w:val="nil"/>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职场英语三</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社会实践活动（第二课堂）</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Arial" w:hAnsi="Arial" w:eastAsia="宋体"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团委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公共选修课</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任选</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16"/>
                      <w:szCs w:val="16"/>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小计（需从本模块课程选择，修满10学分、160学时）</w:t>
                  </w:r>
                </w:p>
              </w:tc>
              <w:tc>
                <w:tcPr>
                  <w:tcW w:w="442" w:type="dxa"/>
                  <w:tcBorders>
                    <w:top w:val="single" w:color="000000" w:sz="4" w:space="0"/>
                    <w:left w:val="nil"/>
                    <w:bottom w:val="single" w:color="000000" w:sz="4" w:space="0"/>
                    <w:right w:val="nil"/>
                  </w:tcBorders>
                  <w:noWrap/>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nil"/>
                  </w:tcBorders>
                  <w:noWrap/>
                  <w:vAlign w:val="center"/>
                </w:tcPr>
                <w:p>
                  <w:pPr>
                    <w:outlineLvl w:val="9"/>
                    <w:rPr>
                      <w:rFonts w:hint="eastAsia" w:ascii="宋体" w:hAnsi="宋体" w:eastAsia="宋体" w:cs="宋体"/>
                      <w:i w:val="0"/>
                      <w:iCs w:val="0"/>
                      <w:color w:val="000000"/>
                      <w:sz w:val="16"/>
                      <w:szCs w:val="16"/>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职业</w:t>
                  </w:r>
                </w:p>
                <w:p>
                  <w:pPr>
                    <w:keepNext w:val="0"/>
                    <w:keepLines w:val="0"/>
                    <w:widowControl/>
                    <w:suppressLineNumbers w:val="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能力</w:t>
                  </w:r>
                </w:p>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模块</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JG2A176</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经济学基础</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3"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0501119A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数字化供应链运营</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JG2B177</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基础会计</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0501121A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文案策划与撰写</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0501122A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社群运营</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lang w:val="en-US" w:eastAsia="zh-CN"/>
                    </w:rPr>
                  </w:pPr>
                  <w:r>
                    <w:rPr>
                      <w:rFonts w:hint="eastAsia" w:ascii="宋体" w:hAnsi="宋体" w:eastAsia="宋体" w:cs="宋体"/>
                      <w:i w:val="0"/>
                      <w:iCs w:val="0"/>
                      <w:color w:val="000000"/>
                      <w:sz w:val="20"/>
                      <w:szCs w:val="20"/>
                      <w:u w:val="none"/>
                      <w:lang w:val="en-US" w:eastAsia="zh-CN"/>
                    </w:rPr>
                    <w:t>2</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0501123A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选品与采购</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0501124A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职业形象塑造</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经济管理学院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nil"/>
                    <w:bottom w:val="single" w:color="000000" w:sz="4" w:space="0"/>
                    <w:right w:val="nil"/>
                  </w:tcBorders>
                  <w:noWrap/>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nil"/>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192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108</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w:t>
                  </w:r>
                </w:p>
                <w:p>
                  <w:pPr>
                    <w:keepNext w:val="0"/>
                    <w:keepLines w:val="0"/>
                    <w:widowControl/>
                    <w:suppressLineNumbers w:val="0"/>
                    <w:jc w:val="center"/>
                    <w:textAlignment w:val="center"/>
                    <w:outlineLvl w:val="9"/>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创业</w:t>
                  </w:r>
                </w:p>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模块　</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1501001A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职业生涯规划</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招就中心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1501002A</w:t>
                  </w: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就业指导</w:t>
                  </w: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必修</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招就中心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职业素养</w:t>
                  </w:r>
                </w:p>
              </w:tc>
              <w:tc>
                <w:tcPr>
                  <w:tcW w:w="442" w:type="dxa"/>
                  <w:tcBorders>
                    <w:top w:val="single" w:color="000000"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5"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730"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default" w:ascii="Times New Roman" w:hAnsi="Times New Roman" w:eastAsia="宋体" w:cs="Times New Roman"/>
                      <w:i w:val="0"/>
                      <w:iCs w:val="0"/>
                      <w:color w:val="000000"/>
                      <w:sz w:val="22"/>
                      <w:szCs w:val="22"/>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创新创业类课程</w:t>
                  </w:r>
                </w:p>
              </w:tc>
              <w:tc>
                <w:tcPr>
                  <w:tcW w:w="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限选</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16"/>
                      <w:szCs w:val="16"/>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both"/>
                    <w:textAlignment w:val="center"/>
                    <w:outlineLvl w:val="9"/>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网络课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7"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730"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109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双创任选项目</w:t>
                  </w:r>
                </w:p>
              </w:tc>
              <w:tc>
                <w:tcPr>
                  <w:tcW w:w="442"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任选</w:t>
                  </w: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35"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 w:hRule="atLeast"/>
                <w:jc w:val="center"/>
              </w:trPr>
              <w:tc>
                <w:tcPr>
                  <w:tcW w:w="335" w:type="dxa"/>
                  <w:vMerge w:val="continue"/>
                  <w:tcBorders>
                    <w:top w:val="single" w:color="000000" w:sz="4" w:space="0"/>
                    <w:left w:val="single" w:color="000000" w:sz="4" w:space="0"/>
                    <w:bottom w:val="single" w:color="000000" w:sz="4" w:space="0"/>
                    <w:right w:val="single" w:color="000000" w:sz="4" w:space="0"/>
                  </w:tcBorders>
                  <w:noWrap w:val="0"/>
                  <w:vAlign w:val="center"/>
                </w:tcPr>
                <w:p>
                  <w:pPr>
                    <w:outlineLvl w:val="9"/>
                    <w:rPr>
                      <w:rFonts w:hint="eastAsia" w:ascii="宋体" w:hAnsi="宋体" w:eastAsia="宋体" w:cs="宋体"/>
                      <w:i w:val="0"/>
                      <w:iCs w:val="0"/>
                      <w:color w:val="000000"/>
                      <w:sz w:val="20"/>
                      <w:szCs w:val="20"/>
                      <w:u w:val="none"/>
                    </w:rPr>
                  </w:pPr>
                </w:p>
              </w:tc>
              <w:tc>
                <w:tcPr>
                  <w:tcW w:w="448"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227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小计</w:t>
                  </w:r>
                </w:p>
              </w:tc>
              <w:tc>
                <w:tcPr>
                  <w:tcW w:w="442" w:type="dxa"/>
                  <w:tcBorders>
                    <w:top w:val="single" w:color="000000" w:sz="4" w:space="0"/>
                    <w:left w:val="nil"/>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jc w:val="center"/>
                    <w:outlineLvl w:val="9"/>
                    <w:rPr>
                      <w:rFonts w:hint="eastAsia" w:ascii="宋体" w:hAnsi="宋体" w:eastAsia="宋体" w:cs="宋体"/>
                      <w:i w:val="0"/>
                      <w:iCs w:val="0"/>
                      <w:color w:val="000000"/>
                      <w:sz w:val="20"/>
                      <w:szCs w:val="20"/>
                      <w:u w:val="none"/>
                    </w:rPr>
                  </w:pP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5" w:hRule="atLeast"/>
                <w:jc w:val="center"/>
              </w:trPr>
              <w:tc>
                <w:tcPr>
                  <w:tcW w:w="78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w:t>
                  </w:r>
                </w:p>
              </w:tc>
              <w:tc>
                <w:tcPr>
                  <w:tcW w:w="2270" w:type="dxa"/>
                  <w:gridSpan w:val="3"/>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合计（总学时数及周学时数）</w:t>
                  </w:r>
                </w:p>
              </w:tc>
              <w:tc>
                <w:tcPr>
                  <w:tcW w:w="442"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66"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381" w:type="dxa"/>
                  <w:tcBorders>
                    <w:top w:val="single" w:color="000000" w:sz="4" w:space="0"/>
                    <w:left w:val="single" w:color="000000" w:sz="4" w:space="0"/>
                    <w:bottom w:val="single" w:color="000000" w:sz="4" w:space="0"/>
                    <w:right w:val="single" w:color="000000" w:sz="4" w:space="0"/>
                  </w:tcBorders>
                  <w:noWrap/>
                  <w:vAlign w:val="center"/>
                </w:tcPr>
                <w:p>
                  <w:pPr>
                    <w:outlineLvl w:val="9"/>
                    <w:rPr>
                      <w:rFonts w:hint="eastAsia" w:ascii="宋体" w:hAnsi="宋体" w:eastAsia="宋体" w:cs="宋体"/>
                      <w:i w:val="0"/>
                      <w:iCs w:val="0"/>
                      <w:color w:val="000000"/>
                      <w:sz w:val="20"/>
                      <w:szCs w:val="20"/>
                      <w:u w:val="none"/>
                    </w:rPr>
                  </w:pP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155.5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2536</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1182</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default" w:ascii="宋体" w:hAnsi="宋体" w:eastAsia="宋体" w:cs="宋体"/>
                      <w:i w:val="0"/>
                      <w:iCs w:val="0"/>
                      <w:color w:val="000000"/>
                      <w:sz w:val="20"/>
                      <w:szCs w:val="20"/>
                      <w:u w:val="none"/>
                      <w:lang w:val="en-US"/>
                    </w:rPr>
                  </w:pPr>
                  <w:r>
                    <w:rPr>
                      <w:rFonts w:hint="eastAsia" w:ascii="宋体" w:hAnsi="宋体" w:eastAsia="宋体" w:cs="宋体"/>
                      <w:i w:val="0"/>
                      <w:iCs w:val="0"/>
                      <w:color w:val="000000"/>
                      <w:kern w:val="0"/>
                      <w:sz w:val="20"/>
                      <w:szCs w:val="20"/>
                      <w:u w:val="none"/>
                      <w:lang w:val="en-US" w:eastAsia="zh-CN" w:bidi="ar"/>
                    </w:rPr>
                    <w:t>1354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24</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26.5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27.5</w:t>
                  </w:r>
                </w:p>
              </w:tc>
              <w:tc>
                <w:tcPr>
                  <w:tcW w:w="40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16.5</w:t>
                  </w:r>
                </w:p>
              </w:tc>
              <w:tc>
                <w:tcPr>
                  <w:tcW w:w="3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3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outlineLvl w:val="9"/>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0</w:t>
                  </w:r>
                </w:p>
              </w:tc>
              <w:tc>
                <w:tcPr>
                  <w:tcW w:w="834" w:type="dxa"/>
                  <w:tcBorders>
                    <w:top w:val="single" w:color="000000" w:sz="4" w:space="0"/>
                    <w:left w:val="single" w:color="000000" w:sz="4" w:space="0"/>
                    <w:bottom w:val="single" w:color="000000" w:sz="4" w:space="0"/>
                    <w:right w:val="single" w:color="000000" w:sz="4" w:space="0"/>
                  </w:tcBorders>
                  <w:noWrap/>
                  <w:vAlign w:val="center"/>
                </w:tcPr>
                <w:p>
                  <w:pPr>
                    <w:jc w:val="left"/>
                    <w:outlineLvl w:val="9"/>
                    <w:rPr>
                      <w:rFonts w:hint="eastAsia" w:ascii="宋体" w:hAnsi="宋体" w:eastAsia="宋体" w:cs="宋体"/>
                      <w:i w:val="0"/>
                      <w:iCs w:val="0"/>
                      <w:color w:val="000000"/>
                      <w:sz w:val="20"/>
                      <w:szCs w:val="20"/>
                      <w:u w:val="none"/>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2"/>
                <w:szCs w:val="28"/>
                <w:highlight w:val="none"/>
                <w:lang w:val="en-US" w:eastAsia="zh-CN"/>
              </w:rPr>
            </w:pPr>
            <w:r>
              <w:rPr>
                <w:rFonts w:hint="eastAsia" w:ascii="宋体" w:hAnsi="宋体" w:eastAsia="宋体" w:cs="宋体"/>
                <w:sz w:val="24"/>
                <w:szCs w:val="32"/>
                <w:highlight w:val="none"/>
                <w:lang w:val="en-US" w:eastAsia="zh-CN"/>
              </w:rPr>
              <w:t>注：</w:t>
            </w:r>
            <w:r>
              <w:rPr>
                <w:rFonts w:hint="eastAsia" w:ascii="宋体" w:hAnsi="宋体" w:eastAsia="宋体" w:cs="宋体"/>
                <w:sz w:val="22"/>
                <w:szCs w:val="28"/>
                <w:highlight w:val="none"/>
                <w:lang w:val="en-US" w:eastAsia="zh-CN"/>
              </w:rPr>
              <w:t>1.课程性质分为必修、选修（限选、任选）,表中未注明的为必修；</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outlineLvl w:val="9"/>
              <w:rPr>
                <w:rFonts w:hint="eastAsia" w:ascii="宋体" w:hAnsi="宋体" w:eastAsia="宋体" w:cs="宋体"/>
                <w:sz w:val="22"/>
                <w:szCs w:val="28"/>
                <w:highlight w:val="none"/>
                <w:lang w:val="en-US" w:eastAsia="zh-CN"/>
              </w:rPr>
            </w:pPr>
            <w:r>
              <w:rPr>
                <w:rFonts w:hint="eastAsia" w:ascii="宋体" w:hAnsi="宋体" w:eastAsia="宋体" w:cs="宋体"/>
                <w:sz w:val="22"/>
                <w:szCs w:val="28"/>
                <w:highlight w:val="none"/>
                <w:lang w:val="en-US" w:eastAsia="zh-CN"/>
              </w:rPr>
              <w:t>2.考核方法分为考试、考查，各课程实施时应加大过程考核、实践技能考核成绩在课程总成绩中的比重。</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outlineLvl w:val="9"/>
              <w:rPr>
                <w:rFonts w:hint="eastAsia" w:ascii="宋体" w:hAnsi="宋体" w:eastAsia="宋体" w:cs="宋体"/>
                <w:sz w:val="22"/>
                <w:szCs w:val="28"/>
                <w:highlight w:val="none"/>
                <w:lang w:val="en-US" w:eastAsia="zh-CN"/>
              </w:rPr>
            </w:pPr>
            <w:r>
              <w:rPr>
                <w:rFonts w:hint="eastAsia" w:ascii="宋体" w:hAnsi="宋体" w:eastAsia="宋体" w:cs="宋体"/>
                <w:sz w:val="22"/>
                <w:szCs w:val="28"/>
                <w:highlight w:val="none"/>
                <w:lang w:val="en-US" w:eastAsia="zh-CN"/>
              </w:rPr>
              <w:t>3.双创任选项目为：创新创业类讲座、大学生创新项目、创新创业类大赛、技能大赛、创新创业类社团活动，专利、论文、自主创业等，由学生自主选择，至少修满2学分。</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（二）教学时间分配表（按周分配）</w:t>
            </w:r>
          </w:p>
          <w:tbl>
            <w:tblPr>
              <w:tblStyle w:val="12"/>
              <w:tblW w:w="877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21"/>
              <w:gridCol w:w="496"/>
              <w:gridCol w:w="1106"/>
              <w:gridCol w:w="703"/>
              <w:gridCol w:w="666"/>
              <w:gridCol w:w="696"/>
              <w:gridCol w:w="659"/>
              <w:gridCol w:w="661"/>
              <w:gridCol w:w="553"/>
              <w:gridCol w:w="1150"/>
              <w:gridCol w:w="660"/>
              <w:gridCol w:w="7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学</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年</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学</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期</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入学教育</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与军训</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kinsoku/>
                    <w:wordWrap/>
                    <w:overflowPunct/>
                    <w:topLinePunct w:val="0"/>
                    <w:autoSpaceDE/>
                    <w:autoSpaceDN/>
                    <w:bidi w:val="0"/>
                    <w:adjustRightInd/>
                    <w:snapToGrid/>
                    <w:spacing w:line="240" w:lineRule="exact"/>
                    <w:jc w:val="center"/>
                    <w:outlineLvl w:val="9"/>
                    <w:rPr>
                      <w:rFonts w:hint="eastAsia" w:ascii="宋体" w:hAnsi="宋体" w:eastAsia="宋体" w:cs="宋体"/>
                      <w:b w:val="0"/>
                      <w:bCs w:val="0"/>
                      <w:i w:val="0"/>
                      <w:iCs w:val="0"/>
                      <w:color w:val="auto"/>
                      <w:sz w:val="21"/>
                      <w:szCs w:val="21"/>
                      <w:u w:val="none"/>
                    </w:rPr>
                  </w:pPr>
                  <w:r>
                    <w:rPr>
                      <w:rFonts w:hint="eastAsia" w:ascii="宋体" w:hAnsi="宋体" w:eastAsia="宋体" w:cs="宋体"/>
                      <w:b w:val="0"/>
                      <w:bCs w:val="0"/>
                      <w:i w:val="0"/>
                      <w:iCs w:val="0"/>
                      <w:color w:val="auto"/>
                      <w:kern w:val="0"/>
                      <w:sz w:val="21"/>
                      <w:szCs w:val="21"/>
                      <w:u w:val="none"/>
                      <w:lang w:val="en-US" w:eastAsia="zh-CN" w:bidi="ar"/>
                    </w:rPr>
                    <w:t>校内实训</w:t>
                  </w:r>
                </w:p>
              </w:tc>
              <w:tc>
                <w:tcPr>
                  <w:tcW w:w="66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认知</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实习</w:t>
                  </w: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岗位</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实习</w:t>
                  </w:r>
                </w:p>
              </w:tc>
              <w:tc>
                <w:tcPr>
                  <w:tcW w:w="6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毕业</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设计</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毕业</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教育</w:t>
                  </w: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考试</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劳动周及</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sz w:val="21"/>
                      <w:szCs w:val="21"/>
                      <w:u w:val="none"/>
                      <w:lang w:val="en-US" w:eastAsia="zh-CN"/>
                    </w:rPr>
                    <w:t>机动周</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理论</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教学</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0"/>
                      <w:sz w:val="21"/>
                      <w:szCs w:val="21"/>
                      <w:u w:val="none"/>
                      <w:lang w:val="en-US" w:eastAsia="zh-CN" w:bidi="ar"/>
                    </w:rPr>
                  </w:pPr>
                  <w:r>
                    <w:rPr>
                      <w:rFonts w:hint="eastAsia" w:ascii="宋体" w:hAnsi="宋体" w:eastAsia="宋体" w:cs="宋体"/>
                      <w:b w:val="0"/>
                      <w:bCs w:val="0"/>
                      <w:i w:val="0"/>
                      <w:iCs w:val="0"/>
                      <w:color w:val="auto"/>
                      <w:kern w:val="0"/>
                      <w:sz w:val="21"/>
                      <w:szCs w:val="21"/>
                      <w:u w:val="none"/>
                      <w:lang w:val="en-US" w:eastAsia="zh-CN" w:bidi="ar"/>
                    </w:rPr>
                    <w:t>学期</w:t>
                  </w:r>
                </w:p>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val="0"/>
                      <w:bCs w:val="0"/>
                      <w:i w:val="0"/>
                      <w:iCs w:val="0"/>
                      <w:color w:val="auto"/>
                      <w:kern w:val="2"/>
                      <w:sz w:val="21"/>
                      <w:szCs w:val="21"/>
                      <w:u w:val="none"/>
                      <w:lang w:val="en-US" w:eastAsia="zh-CN" w:bidi="ar-SA"/>
                    </w:rPr>
                  </w:pPr>
                  <w:r>
                    <w:rPr>
                      <w:rFonts w:hint="eastAsia" w:ascii="宋体" w:hAnsi="宋体" w:eastAsia="宋体" w:cs="宋体"/>
                      <w:b w:val="0"/>
                      <w:bCs w:val="0"/>
                      <w:i w:val="0"/>
                      <w:iCs w:val="0"/>
                      <w:color w:val="auto"/>
                      <w:kern w:val="0"/>
                      <w:sz w:val="21"/>
                      <w:szCs w:val="21"/>
                      <w:u w:val="none"/>
                      <w:lang w:val="en-US" w:eastAsia="zh-CN" w:bidi="ar"/>
                    </w:rPr>
                    <w:t>周数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一</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7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59"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kern w:val="0"/>
                      <w:sz w:val="21"/>
                      <w:szCs w:val="21"/>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二</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59"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三</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3</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59"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四</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4</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w:t>
                  </w: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59"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1"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16</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五</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5</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default"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kern w:val="0"/>
                      <w:sz w:val="21"/>
                      <w:szCs w:val="21"/>
                      <w:u w:val="none"/>
                      <w:lang w:val="en-US" w:eastAsia="zh-CN" w:bidi="ar"/>
                    </w:rPr>
                    <w:t>10</w:t>
                  </w:r>
                </w:p>
              </w:tc>
              <w:tc>
                <w:tcPr>
                  <w:tcW w:w="659"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kern w:val="0"/>
                      <w:sz w:val="21"/>
                      <w:szCs w:val="21"/>
                      <w:u w:val="none"/>
                      <w:lang w:val="en-US" w:eastAsia="zh-CN" w:bidi="ar"/>
                    </w:rPr>
                    <w:t>8</w:t>
                  </w: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72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Style w:val="22"/>
                      <w:color w:val="auto"/>
                      <w:sz w:val="21"/>
                      <w:szCs w:val="21"/>
                      <w:lang w:val="en-US" w:eastAsia="zh-CN" w:bidi="ar"/>
                    </w:rPr>
                    <w:t>六</w:t>
                  </w:r>
                </w:p>
              </w:tc>
              <w:tc>
                <w:tcPr>
                  <w:tcW w:w="4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6</w:t>
                  </w:r>
                </w:p>
              </w:tc>
              <w:tc>
                <w:tcPr>
                  <w:tcW w:w="110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703"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6"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96"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18</w:t>
                  </w:r>
                </w:p>
              </w:tc>
              <w:tc>
                <w:tcPr>
                  <w:tcW w:w="659" w:type="dxa"/>
                  <w:tcBorders>
                    <w:top w:val="single" w:color="000000" w:sz="4" w:space="0"/>
                    <w:left w:val="single" w:color="000000" w:sz="4" w:space="0"/>
                    <w:bottom w:val="single" w:color="000000" w:sz="4" w:space="0"/>
                    <w:right w:val="single" w:color="000000" w:sz="4" w:space="0"/>
                  </w:tcBorders>
                  <w:noWrap/>
                  <w:vAlign w:val="center"/>
                </w:tcPr>
                <w:p>
                  <w:pPr>
                    <w:jc w:val="center"/>
                    <w:outlineLvl w:val="9"/>
                    <w:rPr>
                      <w:rFonts w:hint="eastAsia" w:ascii="宋体" w:hAnsi="宋体" w:eastAsia="宋体" w:cs="宋体"/>
                      <w:i w:val="0"/>
                      <w:iCs w:val="0"/>
                      <w:color w:val="auto"/>
                      <w:sz w:val="21"/>
                      <w:szCs w:val="21"/>
                      <w:u w:val="none"/>
                    </w:rPr>
                  </w:pPr>
                </w:p>
              </w:tc>
              <w:tc>
                <w:tcPr>
                  <w:tcW w:w="661"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lang w:val="en-US" w:eastAsia="zh-CN"/>
                    </w:rPr>
                  </w:pPr>
                  <w:r>
                    <w:rPr>
                      <w:rFonts w:hint="eastAsia" w:ascii="宋体" w:hAnsi="宋体" w:eastAsia="宋体" w:cs="宋体"/>
                      <w:i w:val="0"/>
                      <w:iCs w:val="0"/>
                      <w:color w:val="auto"/>
                      <w:kern w:val="0"/>
                      <w:sz w:val="21"/>
                      <w:szCs w:val="21"/>
                      <w:u w:val="none"/>
                      <w:lang w:val="en-US" w:eastAsia="zh-CN" w:bidi="ar"/>
                    </w:rPr>
                    <w:t>1</w:t>
                  </w:r>
                </w:p>
              </w:tc>
              <w:tc>
                <w:tcPr>
                  <w:tcW w:w="55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115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1</w:t>
                  </w:r>
                </w:p>
              </w:tc>
              <w:tc>
                <w:tcPr>
                  <w:tcW w:w="660"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0</w:t>
                  </w:r>
                </w:p>
              </w:tc>
              <w:tc>
                <w:tcPr>
                  <w:tcW w:w="705"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outlineLvl w:val="9"/>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exact"/>
                <w:jc w:val="center"/>
              </w:trPr>
              <w:tc>
                <w:tcPr>
                  <w:tcW w:w="1217" w:type="dxa"/>
                  <w:gridSpan w:val="2"/>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color w:val="auto"/>
                      <w:sz w:val="21"/>
                      <w:szCs w:val="21"/>
                      <w:lang w:val="en-US" w:eastAsia="zh-CN" w:bidi="ar"/>
                    </w:rPr>
                    <w:t>合计</w:t>
                  </w:r>
                </w:p>
              </w:tc>
              <w:tc>
                <w:tcPr>
                  <w:tcW w:w="1106"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2</w:t>
                  </w:r>
                </w:p>
              </w:tc>
              <w:tc>
                <w:tcPr>
                  <w:tcW w:w="703"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p>
              </w:tc>
              <w:tc>
                <w:tcPr>
                  <w:tcW w:w="666"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p>
              </w:tc>
              <w:tc>
                <w:tcPr>
                  <w:tcW w:w="696"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default"/>
                      <w:color w:val="auto"/>
                      <w:sz w:val="21"/>
                      <w:szCs w:val="21"/>
                      <w:lang w:val="en-US" w:eastAsia="zh-CN" w:bidi="ar"/>
                    </w:rPr>
                  </w:pPr>
                  <w:r>
                    <w:rPr>
                      <w:rStyle w:val="22"/>
                      <w:rFonts w:hint="eastAsia"/>
                      <w:color w:val="auto"/>
                      <w:sz w:val="21"/>
                      <w:szCs w:val="21"/>
                      <w:lang w:val="en-US" w:eastAsia="zh-CN" w:bidi="ar"/>
                    </w:rPr>
                    <w:t>28</w:t>
                  </w:r>
                </w:p>
              </w:tc>
              <w:tc>
                <w:tcPr>
                  <w:tcW w:w="659"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8</w:t>
                  </w:r>
                </w:p>
              </w:tc>
              <w:tc>
                <w:tcPr>
                  <w:tcW w:w="661"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2</w:t>
                  </w:r>
                </w:p>
              </w:tc>
              <w:tc>
                <w:tcPr>
                  <w:tcW w:w="553"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4</w:t>
                  </w:r>
                </w:p>
              </w:tc>
              <w:tc>
                <w:tcPr>
                  <w:tcW w:w="1150"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6</w:t>
                  </w:r>
                </w:p>
              </w:tc>
              <w:tc>
                <w:tcPr>
                  <w:tcW w:w="660"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p>
              </w:tc>
              <w:tc>
                <w:tcPr>
                  <w:tcW w:w="705" w:type="dxa"/>
                  <w:tcBorders>
                    <w:top w:val="single" w:color="000000" w:sz="4" w:space="0"/>
                    <w:left w:val="single" w:color="000000" w:sz="4" w:space="0"/>
                    <w:bottom w:val="single" w:color="000000" w:sz="4" w:space="0"/>
                    <w:right w:val="single" w:color="000000" w:sz="4" w:space="0"/>
                  </w:tcBorders>
                  <w:shd w:val="clear" w:color="auto" w:fill="DCD8C2"/>
                  <w:noWrap/>
                  <w:vAlign w:val="center"/>
                </w:tcPr>
                <w:p>
                  <w:pPr>
                    <w:keepNext w:val="0"/>
                    <w:keepLines w:val="0"/>
                    <w:widowControl/>
                    <w:suppressLineNumbers w:val="0"/>
                    <w:jc w:val="center"/>
                    <w:textAlignment w:val="center"/>
                    <w:outlineLvl w:val="9"/>
                    <w:rPr>
                      <w:rStyle w:val="22"/>
                      <w:rFonts w:hint="eastAsia"/>
                      <w:color w:val="auto"/>
                      <w:sz w:val="21"/>
                      <w:szCs w:val="21"/>
                      <w:lang w:val="en-US" w:eastAsia="zh-CN" w:bidi="ar"/>
                    </w:rPr>
                  </w:pPr>
                  <w:r>
                    <w:rPr>
                      <w:rStyle w:val="22"/>
                      <w:rFonts w:hint="eastAsia"/>
                      <w:color w:val="auto"/>
                      <w:sz w:val="21"/>
                      <w:szCs w:val="21"/>
                      <w:lang w:val="en-US" w:eastAsia="zh-CN" w:bidi="ar"/>
                    </w:rPr>
                    <w:t>120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outlineLvl w:val="9"/>
              <w:rPr>
                <w:rFonts w:hint="eastAsia" w:ascii="宋体" w:hAnsi="宋体" w:eastAsia="宋体" w:cs="宋体"/>
                <w:sz w:val="21"/>
                <w:szCs w:val="24"/>
                <w:highlight w:val="none"/>
                <w:lang w:val="en-US" w:eastAsia="zh-CN"/>
              </w:rPr>
            </w:pPr>
            <w:r>
              <w:rPr>
                <w:rFonts w:hint="eastAsia" w:ascii="宋体" w:hAnsi="宋体" w:eastAsia="宋体" w:cs="宋体"/>
                <w:sz w:val="21"/>
                <w:szCs w:val="24"/>
                <w:highlight w:val="none"/>
                <w:lang w:val="en-US" w:eastAsia="zh-CN"/>
              </w:rPr>
              <w:t>注：实际执行时，学期周数按校历上学期周数。</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outlineLvl w:val="9"/>
              <w:rPr>
                <w:rFonts w:hint="eastAsia" w:ascii="黑体" w:hAnsi="黑体" w:eastAsia="黑体" w:cs="黑体"/>
                <w:b/>
                <w:bCs/>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outlineLvl w:val="9"/>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八、实施保障</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（一）师资队伍</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1.队伍结构</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目前，团队教师均为本科及以上学历，具有丰富的教学经验与企业实践经历，职称、年龄梯队分布均匀，其中副教授及以上职称占比20%，在教学、课程改革方面具有显著成果，能够较好带领团队开展教学等方面工作，与此同时学院将积极引进新教师，进一步优化教师结构。</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2.专业教师情况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跨境电商专业专任教师以“四有好老师”的标准严格要求自我，具有扎实的专业相关理论功底和实践能力、能够从事较强信息化教学能力，积极开展课程教学改革和科学研究。60%的教师取得相关资格证书，其中，1人具有高级物流师证书，1人具有中级物流师证书，1人具有高级电子商务师证书，1人具有中级电子商务师证书，1人具有报关证，1人具有报检证。专任教师都接受过国家职业教育方法的培训，在指导实践教学环节的能力和方法都很成熟和完善，整体素质较高。</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3.专业带头人（负责人）</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专业带头人为肖复兴老师，具有副高级职称,能够较好地把握国内外电商行业、专业发展,能广泛联系行业企业,了解行业企业对本专业人才的需求实际,教学设计,专业研究能力强,组织开展教科研工作能力强,在本区域或本领域具有一定的专业影响力。</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4.兼职教师</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目前，移动商务专业有5名兼职教师，我们将继续积极和本区域知名电商企业在加强教师企业锻炼、科研、实践教学等各个方面的沟通，以校企合作为载体，引进企业管理人员和优秀员工担任实践课程的指导和评价，通过发掘具有丰富实际工作经验、以及具有中级及以上相关专业职称的企业人员来校组建兼职教师队伍，对学生实习实训和职业发展规划进行指导。</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（二）教学设施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主要包括能够满足正常的课程教学、实习实训所需的专业教室、实训室和实训基地。</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1.专业教室基本条件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专业教室配备有黑板、多媒体计算机、投影设备、音响设备，互联网接入，并实施网络安全防护措施；安装应急照明装置并保持良好状态，符合紧急疏散要求，标志明显，保持逃生通道畅通无阻。</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2.校内实训室基本条件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（1）电商综合实训室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电商综合实训室配备有网络运营系统、美工体系、客服系统等，完整地展示电商基本运营功能的实现。采用互动的教学模式，能够模拟网上商城来实现电商常用的几种交易模式，增强学生的学习积极性，切实提高教学水平。</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（2）选品实训室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选品实训室配备有商品陈列展示及主播带货选品区，主要使学生掌握选品与策划、市场营销、移动商务文案写作等课程理论、实践和创新能力，学生通过实训，能进行直播营销相关的主播打造、选品、卖点提炼、脚本设计、直播流程设计等相关技能训练。</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（3）网络营销实训室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网络营销实训室配备有两间多功能绿幕直播间，培养学生掌握跨境直播电商基础、跨境网店运营推广、跨境客户关系管理、跨境商务数据分析等课程理论、实践和创新能力，该实训室功能强大，能满足电商直播实战配套实训的基本要求和功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（4）跨境电商实训室</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default"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跨境电商实训室配备有多媒体设备、企业跨境实训平台、跨境电商展品等，支持跨境电商实务、国际贸易实务、国际货运代理、外贸业务操作、外贸单证、外贸商函等教学与实训于一体的综合实训室。</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3.校外实训基地基本条件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校外实训基地是对校内实训基地设备及环境的补充，可为学生提供实习场所，同时又是学生与社会连接的窗口。学院在围绕能够开展移动商务专业等实训活动，从基地对学生实训所需的实训设施齐备，提供的实训岗位、有无企业实训指导教师等因素，按照实训管理及实施规章等制度先后建立了新疆浩诚信息科技发展有限公司、瑞豪电子商务产业园、亚欧国际物资交易中心有限公司等校外实训实习基地。</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4.学生实习基地基本条件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学生实习基地是学生毕业前就业重要的载体，学院围绕企业能否能提供跨境电商相关工作岗位、能涵盖当前相关产业发展的主流技术、接纳规实习学生规模、保证实习学生日常工作、学习、生活规章制度建设等角度与已建立校外实训基地企业中遴选了以新疆浩诚信息科技发展有限公司、瑞豪电子商务产业园、亚欧国际物资交易中心有限公司等企业建立了学生实习基地。</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5.支持信息化教学方面的基本条件</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建设了以下相关信息化软硬件平台，全力支持本专业教学活动：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（1）智慧教室：可开展互动式、分组讨论等形式多样的教学活动，促进我校的课堂教学改革；</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（2）智慧职教云平台：可实现MOOC、智慧职教等混合式教学功能；</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（3）建设有多媒体教室及机房，支持学院信息化教学。</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（三）教学资源</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主要包括能够满足学生专业学习、教师专业教学研究和教学实施需要的教材、图书及数字化资源等。</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1.教材选用情况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按照《职业院校教材管理办法》及《新疆应用职业技术学院教材管理规定（修订）》（新应职字〔2021〕76号）文件要求，使用国家统编的专业课程教材，原则上选用国家和省级教育行政部门发布的目录中规划教材或优质教材，符合学生认知规律，富有启发性，有利于激发学生学习兴趣，有利于学生知识、能力和素质的培养。</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2.图书、文献配备情况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图书文献配备能满足人才培养、专业建设、教科研等工作的需要，方便师生查询、借阅。专业类图书文献主要包括：有关电商行业各类国家标准，移动商务技术、方法、思维以及实务操作类图书，经济、管理、营销、信息技术和文化类文献等。</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3.数字教学资源配置基本要求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建设、配备与本专业有关的音视频素材、教学课件、数字化教学案例库、数字教材等专业教学资源库，鼓励学生到职教云、慕课、学习通、知到等平台自主学习，种类丰富、形式多样、使用便捷、动态更新，能满足教学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（四）教学方法</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本专业课程在教学实施中采用的方法包含但不仅限于理论讲授、实践操作、依托信息化手段的自主学习、理实一体的项目式教学、翻转课堂、分组讨论等。理实一体类课程采用过程与结果并重评价方法；生产性实训课程参照企业评价标准采用过程考核为主的评价方法；顶岗实习由所在企业、实习指导老师共同评价。</w:t>
            </w:r>
          </w:p>
          <w:p>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textAlignment w:val="auto"/>
              <w:outlineLvl w:val="9"/>
              <w:rPr>
                <w:rFonts w:hint="eastAsia" w:ascii="宋体" w:hAnsi="宋体" w:eastAsia="宋体" w:cs="宋体"/>
                <w:b/>
                <w:bCs/>
                <w:i w:val="0"/>
                <w:iCs w:val="0"/>
                <w:caps w:val="0"/>
                <w:color w:val="222222"/>
                <w:spacing w:val="0"/>
                <w:sz w:val="24"/>
                <w:szCs w:val="24"/>
                <w:highlight w:val="none"/>
                <w:shd w:val="clear" w:color="auto" w:fill="FFFFFF"/>
                <w:lang w:val="en-US" w:eastAsia="zh-CN"/>
              </w:rPr>
            </w:pPr>
            <w:r>
              <w:rPr>
                <w:rFonts w:hint="eastAsia" w:ascii="宋体" w:hAnsi="宋体" w:eastAsia="宋体" w:cs="宋体"/>
                <w:b/>
                <w:bCs/>
                <w:i w:val="0"/>
                <w:iCs w:val="0"/>
                <w:caps w:val="0"/>
                <w:color w:val="222222"/>
                <w:spacing w:val="0"/>
                <w:sz w:val="24"/>
                <w:szCs w:val="24"/>
                <w:highlight w:val="none"/>
                <w:shd w:val="clear" w:color="auto" w:fill="FFFFFF"/>
                <w:lang w:val="en-US" w:eastAsia="zh-CN"/>
              </w:rPr>
              <w:t>（五）质量管理</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健全专业教学质量监控管理制度，完善课堂教学、教学评价、实习实训、毕业设计及专业调研、人才培养方案更新、资源建设等方面质量标准建设，通过教学设施、过程监控、质量评价和持续改进，达成人才培养规格。</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完善教学管理机制，加强日常教学组织运行与管理，定期开展课程建设水平和教学质量诊断与改进，建立健全巡课、听课、评教等制度，建立与企业联动的实践教学环节督导制度，严明教学纪律，强化教学组织功能，定期开展公开课、示范课教研活动。</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3.建立毕业生跟踪反馈机制和社会评价机制，并对生源情况、在校生学业水平、毕业生就业情况等进行分析，定期评价人才培养质量和培养目标达成情况。</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4.教研室充分利用评价分析结果有效改进专业教学，持续提高人才培养质量。</w:t>
            </w:r>
          </w:p>
          <w:p>
            <w:pPr>
              <w:keepNext w:val="0"/>
              <w:keepLines w:val="0"/>
              <w:pageBreakBefore w:val="0"/>
              <w:widowControl w:val="0"/>
              <w:kinsoku/>
              <w:wordWrap/>
              <w:overflowPunct/>
              <w:topLinePunct w:val="0"/>
              <w:autoSpaceDE/>
              <w:autoSpaceDN/>
              <w:bidi w:val="0"/>
              <w:adjustRightInd w:val="0"/>
              <w:snapToGrid w:val="0"/>
              <w:spacing w:line="500" w:lineRule="exact"/>
              <w:ind w:firstLine="422" w:firstLineChars="200"/>
              <w:textAlignment w:val="auto"/>
              <w:outlineLvl w:val="9"/>
              <w:rPr>
                <w:rFonts w:hint="eastAsia" w:ascii="黑体" w:hAnsi="黑体" w:eastAsia="黑体" w:cs="黑体"/>
                <w:b/>
                <w:bCs/>
                <w:sz w:val="21"/>
                <w:szCs w:val="21"/>
                <w:highlight w:val="none"/>
              </w:rPr>
            </w:pP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outlineLvl w:val="9"/>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九、毕业要求</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1.本专业学生应达到以下标准方可获得毕业文凭：</w:t>
            </w:r>
          </w:p>
          <w:p>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取得155.3学分，其中必修课129.5学分，选修课26学分。选修课学分包括：公共选修课学分不得低于10学分，专业选修课不低于12学分，创新创业选修课不低于4学分，具体选修课学分要求详见下表。</w:t>
            </w:r>
          </w:p>
          <w:tbl>
            <w:tblPr>
              <w:tblStyle w:val="13"/>
              <w:tblW w:w="8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3"/>
              <w:gridCol w:w="1453"/>
              <w:gridCol w:w="1077"/>
              <w:gridCol w:w="3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2733" w:type="dxa"/>
                  <w:vMerge w:val="restart"/>
                  <w:noWrap w:val="0"/>
                  <w:vAlign w:val="center"/>
                </w:tcPr>
                <w:p>
                  <w:pPr>
                    <w:pStyle w:val="20"/>
                    <w:widowControl w:val="0"/>
                    <w:spacing w:line="360" w:lineRule="auto"/>
                    <w:jc w:val="center"/>
                    <w:outlineLvl w:val="9"/>
                    <w:rPr>
                      <w:color w:val="auto"/>
                      <w:sz w:val="21"/>
                      <w:szCs w:val="21"/>
                    </w:rPr>
                  </w:pPr>
                  <w:r>
                    <w:rPr>
                      <w:rFonts w:hint="eastAsia"/>
                      <w:color w:val="auto"/>
                      <w:sz w:val="21"/>
                      <w:szCs w:val="21"/>
                      <w:lang w:eastAsia="zh-CN"/>
                    </w:rPr>
                    <w:t>公共</w:t>
                  </w:r>
                  <w:r>
                    <w:rPr>
                      <w:rFonts w:hint="eastAsia"/>
                      <w:color w:val="auto"/>
                      <w:sz w:val="21"/>
                      <w:szCs w:val="21"/>
                    </w:rPr>
                    <w:t>选修课最低学分要求</w:t>
                  </w:r>
                </w:p>
              </w:tc>
              <w:tc>
                <w:tcPr>
                  <w:tcW w:w="1453" w:type="dxa"/>
                  <w:vMerge w:val="restart"/>
                  <w:noWrap w:val="0"/>
                  <w:vAlign w:val="center"/>
                </w:tcPr>
                <w:p>
                  <w:pPr>
                    <w:pStyle w:val="20"/>
                    <w:widowControl w:val="0"/>
                    <w:spacing w:line="360" w:lineRule="auto"/>
                    <w:jc w:val="center"/>
                    <w:outlineLvl w:val="9"/>
                    <w:rPr>
                      <w:color w:val="auto"/>
                      <w:sz w:val="21"/>
                      <w:szCs w:val="21"/>
                    </w:rPr>
                  </w:pPr>
                  <w:r>
                    <w:rPr>
                      <w:rFonts w:hint="eastAsia"/>
                      <w:color w:val="auto"/>
                      <w:sz w:val="21"/>
                      <w:szCs w:val="21"/>
                      <w:lang w:val="en-US" w:eastAsia="zh-CN"/>
                    </w:rPr>
                    <w:t>10</w:t>
                  </w:r>
                  <w:r>
                    <w:rPr>
                      <w:rFonts w:hint="eastAsia"/>
                      <w:color w:val="auto"/>
                      <w:sz w:val="21"/>
                      <w:szCs w:val="21"/>
                    </w:rPr>
                    <w:t>学分</w:t>
                  </w:r>
                </w:p>
              </w:tc>
              <w:tc>
                <w:tcPr>
                  <w:tcW w:w="1077" w:type="dxa"/>
                  <w:noWrap w:val="0"/>
                  <w:vAlign w:val="center"/>
                </w:tcPr>
                <w:p>
                  <w:pPr>
                    <w:pStyle w:val="20"/>
                    <w:widowControl w:val="0"/>
                    <w:spacing w:line="360" w:lineRule="auto"/>
                    <w:jc w:val="center"/>
                    <w:outlineLvl w:val="9"/>
                    <w:rPr>
                      <w:color w:val="auto"/>
                      <w:sz w:val="21"/>
                      <w:szCs w:val="21"/>
                    </w:rPr>
                  </w:pPr>
                  <w:r>
                    <w:rPr>
                      <w:rFonts w:hint="eastAsia"/>
                      <w:color w:val="auto"/>
                      <w:sz w:val="21"/>
                      <w:szCs w:val="21"/>
                    </w:rPr>
                    <w:t>限选</w:t>
                  </w:r>
                </w:p>
              </w:tc>
              <w:tc>
                <w:tcPr>
                  <w:tcW w:w="3595" w:type="dxa"/>
                  <w:noWrap w:val="0"/>
                  <w:vAlign w:val="center"/>
                </w:tcPr>
                <w:p>
                  <w:pPr>
                    <w:pStyle w:val="20"/>
                    <w:widowControl w:val="0"/>
                    <w:spacing w:line="360" w:lineRule="auto"/>
                    <w:jc w:val="center"/>
                    <w:outlineLvl w:val="9"/>
                    <w:rPr>
                      <w:rFonts w:hint="eastAsia" w:ascii="宋体" w:hAnsi="宋体"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8</w:t>
                  </w:r>
                  <w:r>
                    <w:rPr>
                      <w:rFonts w:hint="eastAsia" w:ascii="宋体" w:hAnsi="宋体" w:eastAsia="宋体" w:cs="Times New Roman"/>
                      <w:color w:val="auto"/>
                      <w:kern w:val="0"/>
                      <w:sz w:val="21"/>
                      <w:szCs w:val="21"/>
                      <w:lang w:val="en-US" w:eastAsia="zh-CN" w:bidi="ar-SA"/>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33" w:type="dxa"/>
                  <w:vMerge w:val="continue"/>
                  <w:noWrap w:val="0"/>
                  <w:vAlign w:val="top"/>
                </w:tcPr>
                <w:p>
                  <w:pPr>
                    <w:pStyle w:val="20"/>
                    <w:widowControl w:val="0"/>
                    <w:spacing w:line="360" w:lineRule="auto"/>
                    <w:jc w:val="center"/>
                    <w:outlineLvl w:val="9"/>
                    <w:rPr>
                      <w:color w:val="auto"/>
                      <w:sz w:val="21"/>
                      <w:szCs w:val="21"/>
                    </w:rPr>
                  </w:pPr>
                </w:p>
              </w:tc>
              <w:tc>
                <w:tcPr>
                  <w:tcW w:w="1453" w:type="dxa"/>
                  <w:vMerge w:val="continue"/>
                  <w:noWrap w:val="0"/>
                  <w:vAlign w:val="center"/>
                </w:tcPr>
                <w:p>
                  <w:pPr>
                    <w:pStyle w:val="20"/>
                    <w:widowControl w:val="0"/>
                    <w:spacing w:line="360" w:lineRule="auto"/>
                    <w:jc w:val="center"/>
                    <w:outlineLvl w:val="9"/>
                    <w:rPr>
                      <w:color w:val="auto"/>
                      <w:sz w:val="21"/>
                      <w:szCs w:val="21"/>
                    </w:rPr>
                  </w:pPr>
                </w:p>
              </w:tc>
              <w:tc>
                <w:tcPr>
                  <w:tcW w:w="1077" w:type="dxa"/>
                  <w:noWrap w:val="0"/>
                  <w:vAlign w:val="center"/>
                </w:tcPr>
                <w:p>
                  <w:pPr>
                    <w:pStyle w:val="20"/>
                    <w:widowControl w:val="0"/>
                    <w:spacing w:line="360" w:lineRule="auto"/>
                    <w:jc w:val="center"/>
                    <w:outlineLvl w:val="9"/>
                    <w:rPr>
                      <w:rFonts w:ascii="宋体" w:hAnsi="宋体"/>
                      <w:color w:val="auto"/>
                      <w:sz w:val="21"/>
                      <w:szCs w:val="21"/>
                    </w:rPr>
                  </w:pPr>
                  <w:r>
                    <w:rPr>
                      <w:rFonts w:hint="eastAsia" w:ascii="宋体" w:hAnsi="宋体"/>
                      <w:color w:val="auto"/>
                      <w:sz w:val="21"/>
                      <w:szCs w:val="21"/>
                    </w:rPr>
                    <w:t>任选</w:t>
                  </w:r>
                </w:p>
              </w:tc>
              <w:tc>
                <w:tcPr>
                  <w:tcW w:w="3595" w:type="dxa"/>
                  <w:noWrap w:val="0"/>
                  <w:vAlign w:val="top"/>
                </w:tcPr>
                <w:p>
                  <w:pPr>
                    <w:pStyle w:val="20"/>
                    <w:widowControl w:val="0"/>
                    <w:tabs>
                      <w:tab w:val="left" w:pos="720"/>
                      <w:tab w:val="center" w:pos="2180"/>
                    </w:tabs>
                    <w:spacing w:line="360" w:lineRule="auto"/>
                    <w:jc w:val="center"/>
                    <w:outlineLvl w:val="9"/>
                    <w:rPr>
                      <w:rFonts w:hint="eastAsia" w:ascii="宋体" w:hAnsi="宋体"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2</w:t>
                  </w:r>
                  <w:r>
                    <w:rPr>
                      <w:rFonts w:hint="eastAsia" w:ascii="宋体" w:hAnsi="宋体" w:eastAsia="宋体" w:cs="Times New Roman"/>
                      <w:color w:val="auto"/>
                      <w:kern w:val="0"/>
                      <w:sz w:val="21"/>
                      <w:szCs w:val="21"/>
                      <w:lang w:val="en-US" w:eastAsia="zh-CN" w:bidi="ar-SA"/>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33" w:type="dxa"/>
                  <w:vMerge w:val="restart"/>
                  <w:noWrap w:val="0"/>
                  <w:vAlign w:val="center"/>
                </w:tcPr>
                <w:p>
                  <w:pPr>
                    <w:pStyle w:val="20"/>
                    <w:widowControl w:val="0"/>
                    <w:spacing w:line="360" w:lineRule="auto"/>
                    <w:jc w:val="center"/>
                    <w:outlineLvl w:val="9"/>
                    <w:rPr>
                      <w:color w:val="auto"/>
                      <w:sz w:val="21"/>
                      <w:szCs w:val="21"/>
                    </w:rPr>
                  </w:pPr>
                  <w:r>
                    <w:rPr>
                      <w:rFonts w:hint="eastAsia"/>
                      <w:color w:val="auto"/>
                      <w:sz w:val="21"/>
                      <w:szCs w:val="21"/>
                    </w:rPr>
                    <w:t>专业选修课最低学分要求</w:t>
                  </w:r>
                </w:p>
              </w:tc>
              <w:tc>
                <w:tcPr>
                  <w:tcW w:w="1453" w:type="dxa"/>
                  <w:vMerge w:val="restart"/>
                  <w:noWrap w:val="0"/>
                  <w:vAlign w:val="center"/>
                </w:tcPr>
                <w:p>
                  <w:pPr>
                    <w:pStyle w:val="20"/>
                    <w:widowControl w:val="0"/>
                    <w:spacing w:line="360" w:lineRule="auto"/>
                    <w:jc w:val="center"/>
                    <w:outlineLvl w:val="9"/>
                    <w:rPr>
                      <w:color w:val="auto"/>
                      <w:sz w:val="21"/>
                      <w:szCs w:val="21"/>
                    </w:rPr>
                  </w:pPr>
                  <w:r>
                    <w:rPr>
                      <w:rFonts w:hint="eastAsia"/>
                      <w:color w:val="auto"/>
                      <w:sz w:val="21"/>
                      <w:szCs w:val="21"/>
                      <w:lang w:val="en-US" w:eastAsia="zh-CN"/>
                    </w:rPr>
                    <w:t>12</w:t>
                  </w:r>
                  <w:r>
                    <w:rPr>
                      <w:rFonts w:hint="eastAsia"/>
                      <w:color w:val="auto"/>
                      <w:sz w:val="21"/>
                      <w:szCs w:val="21"/>
                    </w:rPr>
                    <w:t>学分</w:t>
                  </w:r>
                </w:p>
              </w:tc>
              <w:tc>
                <w:tcPr>
                  <w:tcW w:w="1077" w:type="dxa"/>
                  <w:noWrap w:val="0"/>
                  <w:vAlign w:val="center"/>
                </w:tcPr>
                <w:p>
                  <w:pPr>
                    <w:pStyle w:val="20"/>
                    <w:widowControl w:val="0"/>
                    <w:spacing w:line="360" w:lineRule="auto"/>
                    <w:jc w:val="center"/>
                    <w:outlineLvl w:val="9"/>
                    <w:rPr>
                      <w:color w:val="auto"/>
                      <w:sz w:val="21"/>
                      <w:szCs w:val="21"/>
                    </w:rPr>
                  </w:pPr>
                  <w:r>
                    <w:rPr>
                      <w:rFonts w:hint="eastAsia"/>
                      <w:color w:val="auto"/>
                      <w:sz w:val="21"/>
                      <w:szCs w:val="21"/>
                    </w:rPr>
                    <w:t>限选</w:t>
                  </w:r>
                </w:p>
              </w:tc>
              <w:tc>
                <w:tcPr>
                  <w:tcW w:w="3595" w:type="dxa"/>
                  <w:noWrap w:val="0"/>
                  <w:vAlign w:val="top"/>
                </w:tcPr>
                <w:p>
                  <w:pPr>
                    <w:pStyle w:val="20"/>
                    <w:widowControl w:val="0"/>
                    <w:tabs>
                      <w:tab w:val="left" w:pos="720"/>
                      <w:tab w:val="center" w:pos="2180"/>
                    </w:tabs>
                    <w:spacing w:line="360" w:lineRule="auto"/>
                    <w:jc w:val="center"/>
                    <w:outlineLvl w:val="9"/>
                    <w:rPr>
                      <w:rFonts w:hint="eastAsia" w:ascii="宋体" w:hAnsi="宋体"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10</w:t>
                  </w:r>
                  <w:r>
                    <w:rPr>
                      <w:rFonts w:hint="eastAsia" w:ascii="宋体" w:hAnsi="宋体" w:eastAsia="宋体" w:cs="Times New Roman"/>
                      <w:color w:val="auto"/>
                      <w:kern w:val="0"/>
                      <w:sz w:val="21"/>
                      <w:szCs w:val="21"/>
                      <w:lang w:val="en-US" w:eastAsia="zh-CN" w:bidi="ar-SA"/>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33" w:type="dxa"/>
                  <w:vMerge w:val="continue"/>
                  <w:noWrap w:val="0"/>
                  <w:vAlign w:val="top"/>
                </w:tcPr>
                <w:p>
                  <w:pPr>
                    <w:pStyle w:val="20"/>
                    <w:widowControl w:val="0"/>
                    <w:spacing w:line="360" w:lineRule="auto"/>
                    <w:jc w:val="center"/>
                    <w:outlineLvl w:val="9"/>
                    <w:rPr>
                      <w:color w:val="auto"/>
                      <w:sz w:val="21"/>
                      <w:szCs w:val="21"/>
                    </w:rPr>
                  </w:pPr>
                </w:p>
              </w:tc>
              <w:tc>
                <w:tcPr>
                  <w:tcW w:w="1453" w:type="dxa"/>
                  <w:vMerge w:val="continue"/>
                  <w:noWrap w:val="0"/>
                  <w:vAlign w:val="top"/>
                </w:tcPr>
                <w:p>
                  <w:pPr>
                    <w:pStyle w:val="20"/>
                    <w:widowControl w:val="0"/>
                    <w:spacing w:line="360" w:lineRule="auto"/>
                    <w:jc w:val="center"/>
                    <w:outlineLvl w:val="9"/>
                    <w:rPr>
                      <w:color w:val="auto"/>
                      <w:sz w:val="21"/>
                      <w:szCs w:val="21"/>
                    </w:rPr>
                  </w:pPr>
                </w:p>
              </w:tc>
              <w:tc>
                <w:tcPr>
                  <w:tcW w:w="1077" w:type="dxa"/>
                  <w:noWrap w:val="0"/>
                  <w:vAlign w:val="top"/>
                </w:tcPr>
                <w:p>
                  <w:pPr>
                    <w:pStyle w:val="20"/>
                    <w:widowControl w:val="0"/>
                    <w:spacing w:line="360" w:lineRule="auto"/>
                    <w:jc w:val="center"/>
                    <w:outlineLvl w:val="9"/>
                    <w:rPr>
                      <w:color w:val="auto"/>
                      <w:sz w:val="21"/>
                      <w:szCs w:val="21"/>
                    </w:rPr>
                  </w:pPr>
                  <w:r>
                    <w:rPr>
                      <w:rFonts w:hint="eastAsia" w:ascii="宋体" w:hAnsi="宋体"/>
                      <w:color w:val="auto"/>
                      <w:sz w:val="21"/>
                      <w:szCs w:val="21"/>
                    </w:rPr>
                    <w:t>任选</w:t>
                  </w:r>
                </w:p>
              </w:tc>
              <w:tc>
                <w:tcPr>
                  <w:tcW w:w="3595" w:type="dxa"/>
                  <w:noWrap w:val="0"/>
                  <w:vAlign w:val="top"/>
                </w:tcPr>
                <w:p>
                  <w:pPr>
                    <w:pStyle w:val="20"/>
                    <w:widowControl w:val="0"/>
                    <w:spacing w:line="360" w:lineRule="auto"/>
                    <w:jc w:val="center"/>
                    <w:outlineLvl w:val="9"/>
                    <w:rPr>
                      <w:color w:val="auto"/>
                      <w:sz w:val="21"/>
                      <w:szCs w:val="21"/>
                    </w:rPr>
                  </w:pPr>
                  <w:r>
                    <w:rPr>
                      <w:rFonts w:hint="eastAsia"/>
                      <w:color w:val="auto"/>
                      <w:sz w:val="21"/>
                      <w:szCs w:val="21"/>
                      <w:lang w:val="en-US" w:eastAsia="zh-CN"/>
                    </w:rPr>
                    <w:t>2</w:t>
                  </w:r>
                  <w:r>
                    <w:rPr>
                      <w:rFonts w:hint="eastAsia"/>
                      <w:color w:val="auto"/>
                      <w:sz w:val="21"/>
                      <w:szCs w:val="21"/>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2733" w:type="dxa"/>
                  <w:vMerge w:val="restart"/>
                  <w:noWrap w:val="0"/>
                  <w:vAlign w:val="top"/>
                </w:tcPr>
                <w:p>
                  <w:pPr>
                    <w:pStyle w:val="20"/>
                    <w:widowControl w:val="0"/>
                    <w:spacing w:line="360" w:lineRule="auto"/>
                    <w:jc w:val="center"/>
                    <w:outlineLvl w:val="9"/>
                    <w:rPr>
                      <w:color w:val="auto"/>
                      <w:sz w:val="21"/>
                      <w:szCs w:val="21"/>
                    </w:rPr>
                  </w:pPr>
                  <w:r>
                    <w:rPr>
                      <w:rFonts w:hint="eastAsia"/>
                      <w:color w:val="auto"/>
                      <w:sz w:val="21"/>
                      <w:szCs w:val="21"/>
                      <w:lang w:eastAsia="zh-CN"/>
                    </w:rPr>
                    <w:t>创新创业</w:t>
                  </w:r>
                  <w:r>
                    <w:rPr>
                      <w:rFonts w:hint="eastAsia"/>
                      <w:color w:val="auto"/>
                      <w:sz w:val="21"/>
                      <w:szCs w:val="21"/>
                    </w:rPr>
                    <w:t>选修课最低学分要求</w:t>
                  </w:r>
                </w:p>
              </w:tc>
              <w:tc>
                <w:tcPr>
                  <w:tcW w:w="1453" w:type="dxa"/>
                  <w:vMerge w:val="restart"/>
                  <w:noWrap w:val="0"/>
                  <w:vAlign w:val="center"/>
                </w:tcPr>
                <w:p>
                  <w:pPr>
                    <w:pStyle w:val="20"/>
                    <w:widowControl w:val="0"/>
                    <w:spacing w:line="360" w:lineRule="auto"/>
                    <w:jc w:val="center"/>
                    <w:outlineLvl w:val="9"/>
                    <w:rPr>
                      <w:color w:val="auto"/>
                      <w:sz w:val="21"/>
                      <w:szCs w:val="21"/>
                    </w:rPr>
                  </w:pPr>
                  <w:r>
                    <w:rPr>
                      <w:rFonts w:hint="eastAsia"/>
                      <w:color w:val="auto"/>
                      <w:sz w:val="21"/>
                      <w:szCs w:val="21"/>
                      <w:lang w:val="en-US" w:eastAsia="zh-CN"/>
                    </w:rPr>
                    <w:t>4</w:t>
                  </w:r>
                  <w:r>
                    <w:rPr>
                      <w:rFonts w:hint="eastAsia"/>
                      <w:color w:val="auto"/>
                      <w:sz w:val="21"/>
                      <w:szCs w:val="21"/>
                    </w:rPr>
                    <w:t>学分</w:t>
                  </w:r>
                </w:p>
              </w:tc>
              <w:tc>
                <w:tcPr>
                  <w:tcW w:w="1077" w:type="dxa"/>
                  <w:noWrap w:val="0"/>
                  <w:vAlign w:val="center"/>
                </w:tcPr>
                <w:p>
                  <w:pPr>
                    <w:pStyle w:val="20"/>
                    <w:widowControl w:val="0"/>
                    <w:spacing w:line="360" w:lineRule="auto"/>
                    <w:jc w:val="center"/>
                    <w:outlineLvl w:val="9"/>
                    <w:rPr>
                      <w:rFonts w:hint="eastAsia" w:ascii="宋体" w:hAnsi="宋体"/>
                      <w:color w:val="auto"/>
                      <w:sz w:val="21"/>
                      <w:szCs w:val="21"/>
                    </w:rPr>
                  </w:pPr>
                  <w:r>
                    <w:rPr>
                      <w:rFonts w:hint="eastAsia"/>
                      <w:color w:val="auto"/>
                      <w:sz w:val="21"/>
                      <w:szCs w:val="21"/>
                    </w:rPr>
                    <w:t>限选</w:t>
                  </w:r>
                </w:p>
              </w:tc>
              <w:tc>
                <w:tcPr>
                  <w:tcW w:w="3595" w:type="dxa"/>
                  <w:noWrap w:val="0"/>
                  <w:vAlign w:val="top"/>
                </w:tcPr>
                <w:p>
                  <w:pPr>
                    <w:pStyle w:val="20"/>
                    <w:widowControl w:val="0"/>
                    <w:tabs>
                      <w:tab w:val="left" w:pos="720"/>
                      <w:tab w:val="center" w:pos="2180"/>
                    </w:tabs>
                    <w:spacing w:line="360" w:lineRule="auto"/>
                    <w:jc w:val="center"/>
                    <w:outlineLvl w:val="9"/>
                    <w:rPr>
                      <w:rFonts w:hint="eastAsia"/>
                      <w:color w:val="auto"/>
                      <w:sz w:val="21"/>
                      <w:szCs w:val="21"/>
                    </w:rPr>
                  </w:pPr>
                  <w:r>
                    <w:rPr>
                      <w:rFonts w:hint="eastAsia"/>
                      <w:color w:val="auto"/>
                      <w:sz w:val="21"/>
                      <w:szCs w:val="21"/>
                      <w:lang w:val="en-US" w:eastAsia="zh-CN"/>
                    </w:rPr>
                    <w:t>2</w:t>
                  </w:r>
                  <w:r>
                    <w:rPr>
                      <w:rFonts w:hint="eastAsia"/>
                      <w:color w:val="auto"/>
                      <w:sz w:val="21"/>
                      <w:szCs w:val="21"/>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2733" w:type="dxa"/>
                  <w:vMerge w:val="continue"/>
                  <w:noWrap w:val="0"/>
                  <w:vAlign w:val="top"/>
                </w:tcPr>
                <w:p>
                  <w:pPr>
                    <w:pStyle w:val="20"/>
                    <w:widowControl w:val="0"/>
                    <w:spacing w:line="360" w:lineRule="auto"/>
                    <w:jc w:val="center"/>
                    <w:outlineLvl w:val="9"/>
                    <w:rPr>
                      <w:color w:val="auto"/>
                      <w:sz w:val="21"/>
                      <w:szCs w:val="21"/>
                    </w:rPr>
                  </w:pPr>
                </w:p>
              </w:tc>
              <w:tc>
                <w:tcPr>
                  <w:tcW w:w="1453" w:type="dxa"/>
                  <w:vMerge w:val="continue"/>
                  <w:noWrap w:val="0"/>
                  <w:vAlign w:val="top"/>
                </w:tcPr>
                <w:p>
                  <w:pPr>
                    <w:pStyle w:val="20"/>
                    <w:widowControl w:val="0"/>
                    <w:spacing w:line="360" w:lineRule="auto"/>
                    <w:jc w:val="center"/>
                    <w:outlineLvl w:val="9"/>
                    <w:rPr>
                      <w:color w:val="auto"/>
                      <w:sz w:val="21"/>
                      <w:szCs w:val="21"/>
                    </w:rPr>
                  </w:pPr>
                </w:p>
              </w:tc>
              <w:tc>
                <w:tcPr>
                  <w:tcW w:w="1077" w:type="dxa"/>
                  <w:noWrap w:val="0"/>
                  <w:vAlign w:val="center"/>
                </w:tcPr>
                <w:p>
                  <w:pPr>
                    <w:pStyle w:val="20"/>
                    <w:widowControl w:val="0"/>
                    <w:spacing w:line="360" w:lineRule="auto"/>
                    <w:jc w:val="center"/>
                    <w:outlineLvl w:val="9"/>
                    <w:rPr>
                      <w:rFonts w:hint="eastAsia" w:ascii="宋体" w:hAnsi="宋体"/>
                      <w:color w:val="auto"/>
                      <w:sz w:val="21"/>
                      <w:szCs w:val="21"/>
                    </w:rPr>
                  </w:pPr>
                  <w:r>
                    <w:rPr>
                      <w:rFonts w:hint="eastAsia" w:ascii="宋体" w:hAnsi="宋体"/>
                      <w:color w:val="auto"/>
                      <w:sz w:val="21"/>
                      <w:szCs w:val="21"/>
                    </w:rPr>
                    <w:t>任选</w:t>
                  </w:r>
                </w:p>
              </w:tc>
              <w:tc>
                <w:tcPr>
                  <w:tcW w:w="3595" w:type="dxa"/>
                  <w:noWrap w:val="0"/>
                  <w:vAlign w:val="center"/>
                </w:tcPr>
                <w:p>
                  <w:pPr>
                    <w:pStyle w:val="20"/>
                    <w:widowControl w:val="0"/>
                    <w:spacing w:line="360" w:lineRule="auto"/>
                    <w:jc w:val="center"/>
                    <w:outlineLvl w:val="9"/>
                    <w:rPr>
                      <w:rFonts w:hint="eastAsia"/>
                      <w:color w:val="auto"/>
                      <w:sz w:val="21"/>
                      <w:szCs w:val="21"/>
                    </w:rPr>
                  </w:pPr>
                  <w:r>
                    <w:rPr>
                      <w:rFonts w:hint="eastAsia"/>
                      <w:color w:val="auto"/>
                      <w:sz w:val="21"/>
                      <w:szCs w:val="21"/>
                      <w:lang w:val="en-US" w:eastAsia="zh-CN"/>
                    </w:rPr>
                    <w:t>双创任选项目：2</w:t>
                  </w:r>
                  <w:r>
                    <w:rPr>
                      <w:rFonts w:hint="eastAsia"/>
                      <w:color w:val="auto"/>
                      <w:sz w:val="21"/>
                      <w:szCs w:val="21"/>
                    </w:rPr>
                    <w:t>学分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32"/>
                <w:highlight w:val="none"/>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sz w:val="24"/>
                <w:szCs w:val="32"/>
                <w:highlight w:val="none"/>
                <w:lang w:val="en-US" w:eastAsia="zh-CN"/>
              </w:rPr>
            </w:pPr>
            <w:r>
              <w:rPr>
                <w:rFonts w:hint="eastAsia" w:ascii="宋体" w:hAnsi="宋体" w:eastAsia="宋体" w:cs="宋体"/>
                <w:sz w:val="24"/>
                <w:szCs w:val="32"/>
                <w:highlight w:val="none"/>
                <w:lang w:val="en-US" w:eastAsia="zh-CN"/>
              </w:rPr>
              <w:t>2.需获得相关能力证书和本专业的职业资格证书。</w:t>
            </w:r>
          </w:p>
          <w:tbl>
            <w:tblPr>
              <w:tblStyle w:val="12"/>
              <w:tblW w:w="88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0"/>
              <w:gridCol w:w="2126"/>
              <w:gridCol w:w="2166"/>
              <w:gridCol w:w="1011"/>
              <w:gridCol w:w="1142"/>
              <w:gridCol w:w="1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exact"/>
                <w:tblHeader/>
                <w:jc w:val="center"/>
              </w:trPr>
              <w:tc>
                <w:tcPr>
                  <w:tcW w:w="139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证书类型</w:t>
                  </w:r>
                </w:p>
              </w:tc>
              <w:tc>
                <w:tcPr>
                  <w:tcW w:w="212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证书名称</w:t>
                  </w:r>
                </w:p>
              </w:tc>
              <w:tc>
                <w:tcPr>
                  <w:tcW w:w="2166"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颁证机构</w:t>
                  </w:r>
                </w:p>
              </w:tc>
              <w:tc>
                <w:tcPr>
                  <w:tcW w:w="1011"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取证要求</w:t>
                  </w:r>
                </w:p>
              </w:tc>
              <w:tc>
                <w:tcPr>
                  <w:tcW w:w="1142"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主要支撑课程</w:t>
                  </w:r>
                </w:p>
              </w:tc>
              <w:tc>
                <w:tcPr>
                  <w:tcW w:w="1025"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center"/>
                    <w:textAlignment w:val="center"/>
                    <w:outlineLvl w:val="9"/>
                    <w:rPr>
                      <w:rFonts w:hint="eastAsia" w:ascii="宋体" w:hAnsi="宋体" w:eastAsia="宋体" w:cs="宋体"/>
                      <w:b/>
                      <w:bCs/>
                      <w:i w:val="0"/>
                      <w:iCs w:val="0"/>
                      <w:color w:val="auto"/>
                      <w:kern w:val="0"/>
                      <w:sz w:val="18"/>
                      <w:szCs w:val="18"/>
                      <w:u w:val="none"/>
                      <w:lang w:val="en-US" w:eastAsia="zh-CN" w:bidi="ar"/>
                    </w:rPr>
                  </w:pPr>
                  <w:r>
                    <w:rPr>
                      <w:rFonts w:hint="eastAsia" w:ascii="宋体" w:hAnsi="宋体" w:eastAsia="宋体" w:cs="宋体"/>
                      <w:b/>
                      <w:bCs/>
                      <w:i w:val="0"/>
                      <w:iCs w:val="0"/>
                      <w:color w:val="auto"/>
                      <w:kern w:val="0"/>
                      <w:sz w:val="18"/>
                      <w:szCs w:val="18"/>
                      <w:u w:val="none"/>
                      <w:lang w:val="en-US" w:eastAsia="zh-CN" w:bidi="ar"/>
                    </w:rPr>
                    <w:t>建议获取时间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exact"/>
                <w:jc w:val="center"/>
              </w:trPr>
              <w:tc>
                <w:tcPr>
                  <w:tcW w:w="1390" w:type="dxa"/>
                  <w:vMerge w:val="restart"/>
                  <w:noWrap w:val="0"/>
                  <w:vAlign w:val="center"/>
                </w:tcPr>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语言类</w:t>
                  </w:r>
                </w:p>
              </w:tc>
              <w:tc>
                <w:tcPr>
                  <w:tcW w:w="2126"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普通话水平</w:t>
                  </w:r>
                </w:p>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测试等级证书</w:t>
                  </w:r>
                </w:p>
              </w:tc>
              <w:tc>
                <w:tcPr>
                  <w:tcW w:w="2166"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国家语委普通话与文字应用培训测试中心</w:t>
                  </w:r>
                </w:p>
              </w:tc>
              <w:tc>
                <w:tcPr>
                  <w:tcW w:w="1011"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必须获取</w:t>
                  </w:r>
                </w:p>
              </w:tc>
              <w:tc>
                <w:tcPr>
                  <w:tcW w:w="1142"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大学语文</w:t>
                  </w:r>
                </w:p>
              </w:tc>
              <w:tc>
                <w:tcPr>
                  <w:tcW w:w="1025" w:type="dxa"/>
                  <w:noWrap w:val="0"/>
                  <w:vAlign w:val="center"/>
                </w:tcPr>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第</w:t>
                  </w:r>
                  <w:r>
                    <w:rPr>
                      <w:rFonts w:hint="eastAsia" w:ascii="宋体" w:hAnsi="宋体" w:eastAsia="宋体" w:cs="宋体"/>
                      <w:color w:val="auto"/>
                      <w:kern w:val="0"/>
                      <w:sz w:val="21"/>
                      <w:szCs w:val="21"/>
                      <w:lang w:val="en-US" w:eastAsia="zh-CN"/>
                    </w:rPr>
                    <w:t>4</w:t>
                  </w:r>
                  <w:r>
                    <w:rPr>
                      <w:rFonts w:hint="eastAsia" w:ascii="宋体" w:hAnsi="宋体" w:eastAsia="宋体" w:cs="宋体"/>
                      <w:color w:val="auto"/>
                      <w:kern w:val="0"/>
                      <w:sz w:val="21"/>
                      <w:szCs w:val="21"/>
                      <w:lang w:eastAsia="zh-CN"/>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exact"/>
                <w:jc w:val="center"/>
              </w:trPr>
              <w:tc>
                <w:tcPr>
                  <w:tcW w:w="1390"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2126"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高等学校</w:t>
                  </w:r>
                </w:p>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英语应用能力证书</w:t>
                  </w:r>
                </w:p>
              </w:tc>
              <w:tc>
                <w:tcPr>
                  <w:tcW w:w="2166"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高等学校英语应用能力考试委员会</w:t>
                  </w:r>
                </w:p>
              </w:tc>
              <w:tc>
                <w:tcPr>
                  <w:tcW w:w="1011"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建议获取</w:t>
                  </w:r>
                </w:p>
              </w:tc>
              <w:tc>
                <w:tcPr>
                  <w:tcW w:w="1142"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职场英语</w:t>
                  </w:r>
                </w:p>
              </w:tc>
              <w:tc>
                <w:tcPr>
                  <w:tcW w:w="1025" w:type="dxa"/>
                  <w:noWrap w:val="0"/>
                  <w:vAlign w:val="center"/>
                </w:tcPr>
                <w:p>
                  <w:pPr>
                    <w:widowControl/>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第</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eastAsia="zh-CN"/>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1" w:hRule="exact"/>
                <w:jc w:val="center"/>
              </w:trPr>
              <w:tc>
                <w:tcPr>
                  <w:tcW w:w="1390" w:type="dxa"/>
                  <w:noWrap w:val="0"/>
                  <w:vAlign w:val="center"/>
                </w:tcPr>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计算机应</w:t>
                  </w:r>
                </w:p>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用类</w:t>
                  </w:r>
                </w:p>
              </w:tc>
              <w:tc>
                <w:tcPr>
                  <w:tcW w:w="2126"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全国计算机等级考试一级证书或</w:t>
                  </w:r>
                  <w:r>
                    <w:rPr>
                      <w:rFonts w:hint="eastAsia" w:ascii="宋体" w:hAnsi="宋体" w:eastAsia="宋体" w:cs="宋体"/>
                      <w:i w:val="0"/>
                      <w:iCs w:val="0"/>
                      <w:caps w:val="0"/>
                      <w:color w:val="auto"/>
                      <w:spacing w:val="0"/>
                      <w:sz w:val="21"/>
                      <w:szCs w:val="21"/>
                      <w:highlight w:val="none"/>
                      <w:shd w:val="clear" w:color="auto" w:fill="FFFFFF"/>
                    </w:rPr>
                    <w:t>全国高等学校</w:t>
                  </w:r>
                  <w:r>
                    <w:rPr>
                      <w:rStyle w:val="16"/>
                      <w:rFonts w:hint="eastAsia" w:ascii="宋体" w:hAnsi="宋体" w:eastAsia="宋体" w:cs="宋体"/>
                      <w:i w:val="0"/>
                      <w:iCs w:val="0"/>
                      <w:caps w:val="0"/>
                      <w:color w:val="auto"/>
                      <w:spacing w:val="0"/>
                      <w:sz w:val="21"/>
                      <w:szCs w:val="21"/>
                      <w:highlight w:val="none"/>
                      <w:shd w:val="clear" w:color="auto" w:fill="FFFFFF"/>
                    </w:rPr>
                    <w:t>计算机</w:t>
                  </w:r>
                  <w:r>
                    <w:rPr>
                      <w:rFonts w:hint="eastAsia" w:ascii="宋体" w:hAnsi="宋体" w:eastAsia="宋体" w:cs="宋体"/>
                      <w:i w:val="0"/>
                      <w:iCs w:val="0"/>
                      <w:caps w:val="0"/>
                      <w:color w:val="auto"/>
                      <w:spacing w:val="0"/>
                      <w:sz w:val="21"/>
                      <w:szCs w:val="21"/>
                      <w:highlight w:val="none"/>
                      <w:shd w:val="clear" w:color="auto" w:fill="FFFFFF"/>
                      <w:lang w:eastAsia="zh-CN"/>
                    </w:rPr>
                    <w:t>水平考试证书（</w:t>
                  </w:r>
                  <w:r>
                    <w:rPr>
                      <w:rFonts w:hint="eastAsia" w:ascii="宋体" w:hAnsi="宋体" w:eastAsia="宋体" w:cs="宋体"/>
                      <w:i w:val="0"/>
                      <w:iCs w:val="0"/>
                      <w:caps w:val="0"/>
                      <w:color w:val="auto"/>
                      <w:spacing w:val="0"/>
                      <w:sz w:val="21"/>
                      <w:szCs w:val="21"/>
                      <w:highlight w:val="none"/>
                      <w:shd w:val="clear" w:color="auto" w:fill="FFFFFF"/>
                      <w:lang w:val="en-US" w:eastAsia="zh-CN"/>
                    </w:rPr>
                    <w:t>CCT</w:t>
                  </w:r>
                  <w:r>
                    <w:rPr>
                      <w:rFonts w:hint="eastAsia" w:ascii="宋体" w:hAnsi="宋体" w:eastAsia="宋体" w:cs="宋体"/>
                      <w:i w:val="0"/>
                      <w:iCs w:val="0"/>
                      <w:caps w:val="0"/>
                      <w:color w:val="auto"/>
                      <w:spacing w:val="0"/>
                      <w:sz w:val="21"/>
                      <w:szCs w:val="21"/>
                      <w:highlight w:val="none"/>
                      <w:shd w:val="clear" w:color="auto" w:fill="FFFFFF"/>
                      <w:lang w:eastAsia="zh-CN"/>
                    </w:rPr>
                    <w:t>）</w:t>
                  </w:r>
                </w:p>
              </w:tc>
              <w:tc>
                <w:tcPr>
                  <w:tcW w:w="2166" w:type="dxa"/>
                  <w:noWrap w:val="0"/>
                  <w:vAlign w:val="center"/>
                </w:tcPr>
                <w:p>
                  <w:pPr>
                    <w:widowControl/>
                    <w:jc w:val="center"/>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教育部考试中心/</w:t>
                  </w:r>
                  <w:r>
                    <w:rPr>
                      <w:rFonts w:hint="eastAsia" w:ascii="宋体" w:hAnsi="宋体" w:eastAsia="宋体" w:cs="宋体"/>
                      <w:color w:val="auto"/>
                      <w:kern w:val="0"/>
                      <w:sz w:val="21"/>
                      <w:szCs w:val="21"/>
                      <w:highlight w:val="none"/>
                      <w:lang w:eastAsia="zh-CN"/>
                    </w:rPr>
                    <w:t>新疆维吾尔自治区</w:t>
                  </w:r>
                  <w:r>
                    <w:rPr>
                      <w:rFonts w:hint="eastAsia" w:ascii="宋体" w:hAnsi="宋体" w:eastAsia="宋体" w:cs="宋体"/>
                      <w:color w:val="auto"/>
                      <w:kern w:val="0"/>
                      <w:sz w:val="21"/>
                      <w:szCs w:val="21"/>
                      <w:highlight w:val="none"/>
                    </w:rPr>
                    <w:t>高等学校计算机等级考试中心</w:t>
                  </w:r>
                </w:p>
              </w:tc>
              <w:tc>
                <w:tcPr>
                  <w:tcW w:w="1011" w:type="dxa"/>
                  <w:noWrap w:val="0"/>
                  <w:vAlign w:val="center"/>
                </w:tcPr>
                <w:p>
                  <w:pPr>
                    <w:widowControl/>
                    <w:jc w:val="center"/>
                    <w:outlineLvl w:val="9"/>
                    <w:rPr>
                      <w:rFonts w:hint="eastAsia" w:ascii="宋体" w:hAnsi="宋体" w:eastAsia="宋体" w:cs="宋体"/>
                      <w:b/>
                      <w:bCs/>
                      <w:color w:val="auto"/>
                      <w:kern w:val="0"/>
                      <w:sz w:val="21"/>
                      <w:szCs w:val="21"/>
                      <w:highlight w:val="none"/>
                    </w:rPr>
                  </w:pPr>
                  <w:r>
                    <w:rPr>
                      <w:rFonts w:hint="eastAsia" w:ascii="宋体" w:hAnsi="宋体" w:eastAsia="宋体" w:cs="宋体"/>
                      <w:color w:val="auto"/>
                      <w:kern w:val="0"/>
                      <w:sz w:val="21"/>
                      <w:szCs w:val="21"/>
                      <w:highlight w:val="none"/>
                    </w:rPr>
                    <w:t>建议获取</w:t>
                  </w:r>
                </w:p>
              </w:tc>
              <w:tc>
                <w:tcPr>
                  <w:tcW w:w="1142" w:type="dxa"/>
                  <w:noWrap w:val="0"/>
                  <w:vAlign w:val="center"/>
                </w:tcPr>
                <w:p>
                  <w:pPr>
                    <w:widowControl/>
                    <w:jc w:val="center"/>
                    <w:outlineLvl w:val="9"/>
                    <w:rPr>
                      <w:rFonts w:hint="default" w:ascii="宋体" w:hAnsi="宋体" w:eastAsia="宋体" w:cs="宋体"/>
                      <w:b/>
                      <w:bCs/>
                      <w:color w:val="auto"/>
                      <w:kern w:val="0"/>
                      <w:sz w:val="21"/>
                      <w:szCs w:val="21"/>
                      <w:highlight w:val="yellow"/>
                      <w:lang w:val="en-US" w:eastAsia="zh-CN"/>
                    </w:rPr>
                  </w:pPr>
                  <w:r>
                    <w:rPr>
                      <w:rFonts w:hint="eastAsia" w:ascii="宋体" w:hAnsi="宋体" w:eastAsia="宋体" w:cs="宋体"/>
                      <w:color w:val="auto"/>
                      <w:kern w:val="0"/>
                      <w:sz w:val="21"/>
                      <w:szCs w:val="21"/>
                      <w:highlight w:val="none"/>
                      <w:lang w:val="en-US" w:eastAsia="zh-CN"/>
                    </w:rPr>
                    <w:t>信息技术</w:t>
                  </w:r>
                </w:p>
              </w:tc>
              <w:tc>
                <w:tcPr>
                  <w:tcW w:w="1025" w:type="dxa"/>
                  <w:noWrap w:val="0"/>
                  <w:vAlign w:val="center"/>
                </w:tcPr>
                <w:p>
                  <w:pPr>
                    <w:widowControl/>
                    <w:jc w:val="center"/>
                    <w:outlineLvl w:val="9"/>
                    <w:rPr>
                      <w:rFonts w:hint="eastAsia" w:ascii="宋体" w:hAnsi="宋体" w:eastAsia="宋体" w:cs="宋体"/>
                      <w:color w:val="auto"/>
                      <w:kern w:val="0"/>
                      <w:sz w:val="21"/>
                      <w:szCs w:val="21"/>
                    </w:rPr>
                  </w:pPr>
                  <w:r>
                    <w:rPr>
                      <w:rFonts w:hint="eastAsia" w:ascii="宋体" w:hAnsi="宋体" w:eastAsia="宋体" w:cs="宋体"/>
                      <w:color w:val="auto"/>
                      <w:kern w:val="0"/>
                      <w:sz w:val="21"/>
                      <w:szCs w:val="21"/>
                      <w:lang w:eastAsia="zh-CN"/>
                    </w:rPr>
                    <w:t>第</w:t>
                  </w:r>
                  <w:r>
                    <w:rPr>
                      <w:rFonts w:hint="eastAsia" w:ascii="宋体" w:hAnsi="宋体" w:eastAsia="宋体" w:cs="宋体"/>
                      <w:color w:val="auto"/>
                      <w:kern w:val="0"/>
                      <w:sz w:val="21"/>
                      <w:szCs w:val="21"/>
                      <w:lang w:val="en-US" w:eastAsia="zh-CN"/>
                    </w:rPr>
                    <w:t>2</w:t>
                  </w:r>
                  <w:r>
                    <w:rPr>
                      <w:rFonts w:hint="eastAsia" w:ascii="宋体" w:hAnsi="宋体" w:eastAsia="宋体" w:cs="宋体"/>
                      <w:color w:val="auto"/>
                      <w:kern w:val="0"/>
                      <w:sz w:val="21"/>
                      <w:szCs w:val="21"/>
                      <w:lang w:eastAsia="zh-CN"/>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1390" w:type="dxa"/>
                  <w:vMerge w:val="restart"/>
                  <w:noWrap w:val="0"/>
                  <w:vAlign w:val="center"/>
                </w:tcPr>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职业技能等级</w:t>
                  </w:r>
                </w:p>
                <w:p>
                  <w:pPr>
                    <w:widowControl/>
                    <w:jc w:val="center"/>
                    <w:outlineLvl w:val="9"/>
                    <w:rPr>
                      <w:rFonts w:hint="eastAsia" w:ascii="宋体" w:hAnsi="宋体" w:eastAsia="宋体" w:cs="宋体"/>
                      <w:color w:val="auto"/>
                      <w:kern w:val="0"/>
                      <w:sz w:val="21"/>
                      <w:szCs w:val="21"/>
                      <w:lang w:eastAsia="zh-CN"/>
                    </w:rPr>
                  </w:pPr>
                  <w:r>
                    <w:rPr>
                      <w:rFonts w:hint="eastAsia" w:ascii="宋体" w:hAnsi="宋体" w:eastAsia="宋体" w:cs="宋体"/>
                      <w:color w:val="auto"/>
                      <w:kern w:val="0"/>
                      <w:sz w:val="21"/>
                      <w:szCs w:val="21"/>
                      <w:lang w:eastAsia="zh-CN"/>
                    </w:rPr>
                    <w:t>或职业资格类</w:t>
                  </w:r>
                </w:p>
              </w:tc>
              <w:tc>
                <w:tcPr>
                  <w:tcW w:w="2126" w:type="dxa"/>
                  <w:noWrap w:val="0"/>
                  <w:vAlign w:val="center"/>
                </w:tcPr>
                <w:p>
                  <w:pPr>
                    <w:widowControl/>
                    <w:jc w:val="center"/>
                    <w:outlineLvl w:val="9"/>
                    <w:rPr>
                      <w:rFonts w:hint="eastAsia" w:ascii="宋体" w:hAnsi="宋体" w:eastAsia="宋体" w:cs="宋体"/>
                      <w:color w:val="auto"/>
                      <w:kern w:val="0"/>
                      <w:sz w:val="21"/>
                      <w:szCs w:val="21"/>
                      <w:lang w:val="en-US" w:eastAsia="zh-CN"/>
                    </w:rPr>
                  </w:pPr>
                  <w:r>
                    <w:rPr>
                      <w:spacing w:val="9"/>
                    </w:rPr>
                    <w:t>初级跨境电子商务员</w:t>
                  </w:r>
                </w:p>
              </w:tc>
              <w:tc>
                <w:tcPr>
                  <w:tcW w:w="2166" w:type="dxa"/>
                  <w:noWrap w:val="0"/>
                  <w:vAlign w:val="center"/>
                </w:tcPr>
                <w:p>
                  <w:pPr>
                    <w:widowControl/>
                    <w:jc w:val="center"/>
                    <w:outlineLvl w:val="9"/>
                    <w:rPr>
                      <w:rFonts w:hint="eastAsia" w:ascii="宋体" w:hAnsi="宋体" w:eastAsia="宋体" w:cs="宋体"/>
                      <w:color w:val="auto"/>
                      <w:kern w:val="0"/>
                      <w:sz w:val="21"/>
                      <w:szCs w:val="21"/>
                    </w:rPr>
                  </w:pPr>
                  <w:r>
                    <w:rPr>
                      <w:spacing w:val="6"/>
                    </w:rPr>
                    <w:t>中国电子商务协会</w:t>
                  </w:r>
                </w:p>
              </w:tc>
              <w:tc>
                <w:tcPr>
                  <w:tcW w:w="1011"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建议获取</w:t>
                  </w:r>
                </w:p>
              </w:tc>
              <w:tc>
                <w:tcPr>
                  <w:tcW w:w="1142" w:type="dxa"/>
                  <w:noWrap w:val="0"/>
                  <w:vAlign w:val="center"/>
                </w:tcPr>
                <w:p>
                  <w:pPr>
                    <w:widowControl/>
                    <w:jc w:val="center"/>
                    <w:outlineLvl w:val="9"/>
                    <w:rPr>
                      <w:rFonts w:hint="eastAsia" w:ascii="宋体" w:hAnsi="宋体" w:eastAsia="宋体" w:cs="宋体"/>
                      <w:color w:val="auto"/>
                      <w:kern w:val="0"/>
                      <w:sz w:val="21"/>
                      <w:szCs w:val="21"/>
                      <w:highlight w:val="none"/>
                      <w:lang w:val="en-US" w:eastAsia="zh-CN"/>
                    </w:rPr>
                  </w:pPr>
                  <w:r>
                    <w:rPr>
                      <w:rFonts w:hint="eastAsia" w:ascii="宋体" w:hAnsi="宋体" w:eastAsia="宋体" w:cs="宋体"/>
                      <w:i w:val="0"/>
                      <w:iCs w:val="0"/>
                      <w:color w:val="000000"/>
                      <w:kern w:val="0"/>
                      <w:sz w:val="20"/>
                      <w:szCs w:val="20"/>
                      <w:highlight w:val="none"/>
                      <w:u w:val="none"/>
                      <w:lang w:val="en-US" w:eastAsia="zh-CN" w:bidi="ar"/>
                    </w:rPr>
                    <w:t>跨境电商实务</w:t>
                  </w:r>
                </w:p>
              </w:tc>
              <w:tc>
                <w:tcPr>
                  <w:tcW w:w="1025"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第</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学期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exact"/>
                <w:jc w:val="center"/>
              </w:trPr>
              <w:tc>
                <w:tcPr>
                  <w:tcW w:w="1390" w:type="dxa"/>
                  <w:vMerge w:val="continue"/>
                  <w:noWrap w:val="0"/>
                  <w:vAlign w:val="center"/>
                </w:tcPr>
                <w:p>
                  <w:pPr>
                    <w:widowControl/>
                    <w:jc w:val="center"/>
                    <w:outlineLvl w:val="9"/>
                    <w:rPr>
                      <w:rFonts w:hint="eastAsia" w:ascii="宋体" w:hAnsi="宋体" w:eastAsia="宋体" w:cs="宋体"/>
                      <w:color w:val="auto"/>
                      <w:kern w:val="0"/>
                      <w:sz w:val="21"/>
                      <w:szCs w:val="21"/>
                      <w:lang w:eastAsia="zh-CN"/>
                    </w:rPr>
                  </w:pPr>
                </w:p>
              </w:tc>
              <w:tc>
                <w:tcPr>
                  <w:tcW w:w="2126" w:type="dxa"/>
                  <w:noWrap w:val="0"/>
                  <w:vAlign w:val="center"/>
                </w:tcPr>
                <w:p>
                  <w:pPr>
                    <w:widowControl/>
                    <w:jc w:val="center"/>
                    <w:outlineLvl w:val="9"/>
                    <w:rPr>
                      <w:spacing w:val="9"/>
                    </w:rPr>
                  </w:pPr>
                  <w:r>
                    <w:rPr>
                      <w:spacing w:val="6"/>
                    </w:rPr>
                    <w:t>国际商务单证员</w:t>
                  </w:r>
                </w:p>
              </w:tc>
              <w:tc>
                <w:tcPr>
                  <w:tcW w:w="2166" w:type="dxa"/>
                  <w:noWrap w:val="0"/>
                  <w:vAlign w:val="center"/>
                </w:tcPr>
                <w:p>
                  <w:pPr>
                    <w:widowControl/>
                    <w:jc w:val="center"/>
                    <w:outlineLvl w:val="9"/>
                    <w:rPr>
                      <w:spacing w:val="6"/>
                    </w:rPr>
                  </w:pPr>
                  <w:r>
                    <w:rPr>
                      <w:spacing w:val="8"/>
                    </w:rPr>
                    <w:t>中国对外贸易经济合作企业协会</w:t>
                  </w:r>
                </w:p>
              </w:tc>
              <w:tc>
                <w:tcPr>
                  <w:tcW w:w="1011" w:type="dxa"/>
                  <w:noWrap w:val="0"/>
                  <w:vAlign w:val="center"/>
                </w:tcPr>
                <w:p>
                  <w:pPr>
                    <w:widowControl/>
                    <w:jc w:val="center"/>
                    <w:outlineLvl w:val="9"/>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建议获取</w:t>
                  </w:r>
                </w:p>
              </w:tc>
              <w:tc>
                <w:tcPr>
                  <w:tcW w:w="1142" w:type="dxa"/>
                  <w:noWrap w:val="0"/>
                  <w:vAlign w:val="center"/>
                </w:tcPr>
                <w:p>
                  <w:pPr>
                    <w:widowControl/>
                    <w:jc w:val="center"/>
                    <w:outlineLvl w:val="9"/>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0"/>
                      <w:szCs w:val="20"/>
                      <w:highlight w:val="none"/>
                      <w:u w:val="none"/>
                      <w:lang w:val="en-US" w:eastAsia="zh-CN" w:bidi="ar"/>
                    </w:rPr>
                    <w:t>外贸单证</w:t>
                  </w:r>
                </w:p>
              </w:tc>
              <w:tc>
                <w:tcPr>
                  <w:tcW w:w="1025" w:type="dxa"/>
                  <w:noWrap w:val="0"/>
                  <w:vAlign w:val="center"/>
                </w:tcPr>
                <w:p>
                  <w:pPr>
                    <w:widowControl/>
                    <w:jc w:val="center"/>
                    <w:outlineLvl w:val="9"/>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eastAsia="zh-CN"/>
                    </w:rPr>
                    <w:t>第</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学期</w:t>
                  </w:r>
                </w:p>
              </w:tc>
            </w:tr>
          </w:tbl>
          <w:p>
            <w:pPr>
              <w:pStyle w:val="20"/>
              <w:keepNext w:val="0"/>
              <w:keepLines w:val="0"/>
              <w:pageBreakBefore w:val="0"/>
              <w:kinsoku/>
              <w:wordWrap/>
              <w:overflowPunct/>
              <w:topLinePunct w:val="0"/>
              <w:autoSpaceDE/>
              <w:autoSpaceDN/>
              <w:bidi w:val="0"/>
              <w:adjustRightInd/>
              <w:snapToGrid/>
              <w:spacing w:line="560" w:lineRule="exact"/>
              <w:ind w:firstLine="420"/>
              <w:textAlignment w:val="auto"/>
              <w:outlineLvl w:val="9"/>
              <w:rPr>
                <w:rFonts w:hint="eastAsia" w:ascii="宋体" w:hAnsi="宋体" w:eastAsia="宋体" w:cs="宋体"/>
                <w:color w:val="auto"/>
                <w:kern w:val="2"/>
                <w:sz w:val="22"/>
                <w:szCs w:val="28"/>
                <w:highlight w:val="none"/>
                <w:lang w:val="en-US" w:eastAsia="zh-CN" w:bidi="ar-SA"/>
              </w:rPr>
            </w:pPr>
            <w:r>
              <w:rPr>
                <w:rFonts w:hint="eastAsia" w:ascii="宋体" w:hAnsi="宋体" w:eastAsia="宋体" w:cs="宋体"/>
                <w:color w:val="auto"/>
                <w:kern w:val="2"/>
                <w:sz w:val="22"/>
                <w:szCs w:val="28"/>
                <w:highlight w:val="none"/>
                <w:lang w:val="en-US" w:eastAsia="zh-CN" w:bidi="ar-SA"/>
              </w:rPr>
              <w:t>备注：以上证书至少取得两项。</w:t>
            </w:r>
          </w:p>
          <w:p>
            <w:pPr>
              <w:keepNext w:val="0"/>
              <w:keepLines w:val="0"/>
              <w:pageBreakBefore w:val="0"/>
              <w:widowControl w:val="0"/>
              <w:kinsoku/>
              <w:wordWrap/>
              <w:overflowPunct/>
              <w:topLinePunct w:val="0"/>
              <w:autoSpaceDE/>
              <w:autoSpaceDN/>
              <w:bidi w:val="0"/>
              <w:adjustRightInd w:val="0"/>
              <w:snapToGrid w:val="0"/>
              <w:spacing w:line="500" w:lineRule="exact"/>
              <w:ind w:firstLine="562" w:firstLineChars="200"/>
              <w:textAlignment w:val="auto"/>
              <w:outlineLvl w:val="9"/>
              <w:rPr>
                <w:rFonts w:hint="eastAsia" w:ascii="黑体" w:hAnsi="黑体" w:eastAsia="黑体" w:cs="黑体"/>
                <w:b/>
                <w:bCs/>
                <w:sz w:val="28"/>
                <w:szCs w:val="28"/>
                <w:highlight w:val="none"/>
              </w:rPr>
            </w:pPr>
            <w:r>
              <w:rPr>
                <w:rFonts w:hint="eastAsia" w:ascii="黑体" w:hAnsi="黑体" w:eastAsia="黑体" w:cs="黑体"/>
                <w:b/>
                <w:bCs/>
                <w:sz w:val="28"/>
                <w:szCs w:val="28"/>
                <w:highlight w:val="none"/>
              </w:rPr>
              <w:t>十、其他说明</w:t>
            </w:r>
          </w:p>
          <w:p>
            <w:pPr>
              <w:pStyle w:val="20"/>
              <w:keepNext w:val="0"/>
              <w:keepLines w:val="0"/>
              <w:pageBreakBefore w:val="0"/>
              <w:widowControl w:val="0"/>
              <w:kinsoku/>
              <w:wordWrap/>
              <w:overflowPunct/>
              <w:topLinePunct w:val="0"/>
              <w:autoSpaceDE/>
              <w:autoSpaceDN/>
              <w:bidi w:val="0"/>
              <w:adjustRightInd w:val="0"/>
              <w:snapToGrid w:val="0"/>
              <w:spacing w:line="500" w:lineRule="exact"/>
              <w:ind w:firstLine="420"/>
              <w:textAlignment w:val="auto"/>
              <w:outlineLvl w:val="9"/>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1.本方案依据《新疆应用职业技术学院关于制订2024级高职专业人才培养方案的指导性意见》《关于优化2024版人才培养方案的通知》编制。</w:t>
            </w:r>
          </w:p>
          <w:p>
            <w:pPr>
              <w:pStyle w:val="20"/>
              <w:keepNext w:val="0"/>
              <w:keepLines w:val="0"/>
              <w:pageBreakBefore w:val="0"/>
              <w:kinsoku/>
              <w:wordWrap/>
              <w:overflowPunct/>
              <w:topLinePunct w:val="0"/>
              <w:autoSpaceDE/>
              <w:autoSpaceDN/>
              <w:bidi w:val="0"/>
              <w:adjustRightInd w:val="0"/>
              <w:snapToGrid w:val="0"/>
              <w:spacing w:line="500" w:lineRule="exact"/>
              <w:ind w:firstLine="420"/>
              <w:textAlignment w:val="auto"/>
              <w:outlineLvl w:val="9"/>
              <w:rPr>
                <w:rFonts w:hint="eastAsia" w:ascii="宋体" w:hAnsi="宋体" w:eastAsia="宋体" w:cs="宋体"/>
                <w:color w:val="auto"/>
                <w:kern w:val="2"/>
                <w:sz w:val="24"/>
                <w:szCs w:val="32"/>
                <w:highlight w:val="none"/>
                <w:lang w:val="en-US" w:eastAsia="zh-CN" w:bidi="ar-SA"/>
              </w:rPr>
            </w:pPr>
            <w:r>
              <w:rPr>
                <w:rFonts w:hint="eastAsia" w:ascii="宋体" w:hAnsi="宋体" w:eastAsia="宋体" w:cs="宋体"/>
                <w:color w:val="auto"/>
                <w:kern w:val="2"/>
                <w:sz w:val="24"/>
                <w:szCs w:val="32"/>
                <w:highlight w:val="none"/>
                <w:lang w:val="en-US" w:eastAsia="zh-CN" w:bidi="ar-SA"/>
              </w:rPr>
              <w:t>2.为适应跨境电商产业和无线数字化技术的快速发展，在专业课程的学习内容中应及时更新和补充相关新技术、新工艺等内容。</w:t>
            </w:r>
          </w:p>
          <w:p>
            <w:pPr>
              <w:pStyle w:val="20"/>
              <w:keepNext w:val="0"/>
              <w:keepLines w:val="0"/>
              <w:pageBreakBefore w:val="0"/>
              <w:kinsoku/>
              <w:wordWrap/>
              <w:overflowPunct/>
              <w:topLinePunct w:val="0"/>
              <w:autoSpaceDE/>
              <w:autoSpaceDN/>
              <w:bidi w:val="0"/>
              <w:adjustRightInd w:val="0"/>
              <w:snapToGrid w:val="0"/>
              <w:spacing w:line="500" w:lineRule="exact"/>
              <w:ind w:firstLine="420"/>
              <w:textAlignment w:val="auto"/>
              <w:outlineLvl w:val="9"/>
              <w:rPr>
                <w:rFonts w:hint="eastAsia" w:ascii="宋体" w:hAnsi="宋体" w:eastAsia="宋体" w:cs="宋体"/>
                <w:b/>
                <w:bCs/>
                <w:spacing w:val="9"/>
                <w:sz w:val="32"/>
                <w:szCs w:val="32"/>
                <w:vertAlign w:val="baseline"/>
                <w:lang w:val="en-US" w:eastAsia="zh-CN"/>
              </w:rPr>
            </w:pPr>
            <w:r>
              <w:rPr>
                <w:rFonts w:hint="eastAsia" w:ascii="宋体" w:hAnsi="宋体" w:eastAsia="宋体" w:cs="宋体"/>
                <w:color w:val="auto"/>
                <w:kern w:val="2"/>
                <w:sz w:val="24"/>
                <w:szCs w:val="32"/>
                <w:highlight w:val="none"/>
                <w:lang w:val="en-US" w:eastAsia="zh-CN" w:bidi="ar-SA"/>
              </w:rPr>
              <w:t>3.本方案适用2025级学生。</w:t>
            </w:r>
          </w:p>
        </w:tc>
      </w:tr>
    </w:tbl>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ascii="Arial Unicode MS" w:hAnsi="黑体" w:eastAsia="Arial Unicode MS"/>
          <w:bCs/>
          <w:color w:val="auto"/>
          <w:sz w:val="44"/>
          <w:szCs w:val="44"/>
          <w:u w:val="none"/>
        </w:rPr>
      </w:pPr>
      <w:r>
        <w:rPr>
          <w:rFonts w:hint="eastAsia" w:ascii="Arial Unicode MS" w:hAnsi="黑体" w:eastAsia="Arial Unicode MS"/>
          <w:bCs/>
          <w:color w:val="auto"/>
          <w:sz w:val="44"/>
          <w:szCs w:val="44"/>
          <w:u w:val="none"/>
        </w:rPr>
        <w:t>相关部门意见</w:t>
      </w:r>
    </w:p>
    <w:p>
      <w:pPr>
        <w:spacing w:line="440" w:lineRule="exact"/>
        <w:jc w:val="center"/>
        <w:rPr>
          <w:b/>
          <w:bCs/>
          <w:color w:val="auto"/>
          <w:sz w:val="24"/>
          <w:u w:val="none"/>
        </w:rPr>
      </w:pP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2"/>
        <w:gridCol w:w="3344"/>
        <w:gridCol w:w="1026"/>
        <w:gridCol w:w="3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7" w:hRule="atLeast"/>
          <w:jc w:val="center"/>
        </w:trPr>
        <w:tc>
          <w:tcPr>
            <w:tcW w:w="1282" w:type="dxa"/>
            <w:noWrap w:val="0"/>
            <w:vAlign w:val="center"/>
          </w:tcPr>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校学术</w:t>
            </w:r>
          </w:p>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委员会</w:t>
            </w:r>
          </w:p>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意见</w:t>
            </w:r>
          </w:p>
        </w:tc>
        <w:tc>
          <w:tcPr>
            <w:tcW w:w="3344" w:type="dxa"/>
            <w:noWrap w:val="0"/>
            <w:vAlign w:val="center"/>
          </w:tcPr>
          <w:p>
            <w:pPr>
              <w:ind w:firstLine="840" w:firstLineChars="300"/>
              <w:rPr>
                <w:rFonts w:hint="eastAsia" w:ascii="方正仿宋_GBK" w:hAnsi="方正仿宋_GBK" w:eastAsia="方正仿宋_GBK" w:cs="方正仿宋_GBK"/>
                <w:color w:val="auto"/>
                <w:sz w:val="28"/>
                <w:szCs w:val="28"/>
                <w:u w:val="none"/>
              </w:rPr>
            </w:pPr>
          </w:p>
          <w:p>
            <w:pPr>
              <w:ind w:firstLine="840" w:firstLineChars="300"/>
              <w:rPr>
                <w:rFonts w:hint="eastAsia" w:ascii="方正仿宋_GBK" w:hAnsi="方正仿宋_GBK" w:eastAsia="方正仿宋_GBK" w:cs="方正仿宋_GBK"/>
                <w:color w:val="auto"/>
                <w:sz w:val="28"/>
                <w:szCs w:val="28"/>
                <w:u w:val="none"/>
              </w:rPr>
            </w:pPr>
          </w:p>
          <w:p>
            <w:pPr>
              <w:ind w:firstLine="840" w:firstLineChars="300"/>
              <w:rPr>
                <w:rFonts w:hint="eastAsia" w:ascii="方正仿宋_GBK" w:hAnsi="方正仿宋_GBK" w:eastAsia="方正仿宋_GBK" w:cs="方正仿宋_GBK"/>
                <w:color w:val="auto"/>
                <w:sz w:val="28"/>
                <w:szCs w:val="28"/>
                <w:u w:val="none"/>
              </w:rPr>
            </w:pPr>
          </w:p>
          <w:p>
            <w:pPr>
              <w:ind w:firstLine="840" w:firstLineChars="300"/>
              <w:rPr>
                <w:rFonts w:hint="eastAsia" w:ascii="方正仿宋_GBK" w:hAnsi="方正仿宋_GBK" w:eastAsia="方正仿宋_GBK" w:cs="方正仿宋_GBK"/>
                <w:color w:val="auto"/>
                <w:sz w:val="28"/>
                <w:szCs w:val="28"/>
                <w:u w:val="none"/>
              </w:rPr>
            </w:pPr>
          </w:p>
          <w:p>
            <w:pPr>
              <w:ind w:firstLine="840" w:firstLineChars="300"/>
              <w:rPr>
                <w:rFonts w:hint="eastAsia" w:ascii="方正仿宋_GBK" w:hAnsi="方正仿宋_GBK" w:eastAsia="方正仿宋_GBK" w:cs="方正仿宋_GBK"/>
                <w:color w:val="auto"/>
                <w:sz w:val="28"/>
                <w:szCs w:val="28"/>
                <w:u w:val="none"/>
              </w:rPr>
            </w:pPr>
          </w:p>
          <w:p>
            <w:pPr>
              <w:ind w:firstLine="840" w:firstLineChars="300"/>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（主任签字）</w:t>
            </w:r>
          </w:p>
          <w:p>
            <w:pPr>
              <w:rPr>
                <w:rFonts w:hint="eastAsia" w:ascii="方正仿宋_GBK" w:hAnsi="方正仿宋_GBK" w:eastAsia="方正仿宋_GBK" w:cs="方正仿宋_GBK"/>
                <w:color w:val="auto"/>
                <w:sz w:val="28"/>
                <w:szCs w:val="28"/>
                <w:u w:val="none"/>
              </w:rPr>
            </w:pPr>
          </w:p>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 xml:space="preserve"> 年  月  日</w:t>
            </w:r>
          </w:p>
        </w:tc>
        <w:tc>
          <w:tcPr>
            <w:tcW w:w="1026" w:type="dxa"/>
            <w:noWrap w:val="0"/>
            <w:vAlign w:val="center"/>
          </w:tcPr>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学校</w:t>
            </w:r>
          </w:p>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意见</w:t>
            </w:r>
          </w:p>
        </w:tc>
        <w:tc>
          <w:tcPr>
            <w:tcW w:w="3399" w:type="dxa"/>
            <w:noWrap w:val="0"/>
            <w:vAlign w:val="center"/>
          </w:tcPr>
          <w:p>
            <w:pPr>
              <w:ind w:firstLine="560" w:firstLineChars="200"/>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 xml:space="preserve">  </w:t>
            </w:r>
          </w:p>
          <w:p>
            <w:pPr>
              <w:ind w:firstLine="560" w:firstLineChars="200"/>
              <w:rPr>
                <w:rFonts w:hint="eastAsia" w:ascii="方正仿宋_GBK" w:hAnsi="方正仿宋_GBK" w:eastAsia="方正仿宋_GBK" w:cs="方正仿宋_GBK"/>
                <w:color w:val="auto"/>
                <w:sz w:val="28"/>
                <w:szCs w:val="28"/>
                <w:u w:val="none"/>
              </w:rPr>
            </w:pPr>
          </w:p>
          <w:p>
            <w:pPr>
              <w:ind w:firstLine="560" w:firstLineChars="200"/>
              <w:rPr>
                <w:rFonts w:hint="eastAsia" w:ascii="方正仿宋_GBK" w:hAnsi="方正仿宋_GBK" w:eastAsia="方正仿宋_GBK" w:cs="方正仿宋_GBK"/>
                <w:color w:val="auto"/>
                <w:sz w:val="28"/>
                <w:szCs w:val="28"/>
                <w:u w:val="none"/>
              </w:rPr>
            </w:pPr>
          </w:p>
          <w:p>
            <w:pPr>
              <w:ind w:firstLine="560" w:firstLineChars="200"/>
              <w:rPr>
                <w:rFonts w:hint="eastAsia" w:ascii="方正仿宋_GBK" w:hAnsi="方正仿宋_GBK" w:eastAsia="方正仿宋_GBK" w:cs="方正仿宋_GBK"/>
                <w:color w:val="auto"/>
                <w:sz w:val="28"/>
                <w:szCs w:val="28"/>
                <w:u w:val="none"/>
              </w:rPr>
            </w:pPr>
          </w:p>
          <w:p>
            <w:pPr>
              <w:ind w:firstLine="560" w:firstLineChars="200"/>
              <w:rPr>
                <w:rFonts w:hint="eastAsia" w:ascii="方正仿宋_GBK" w:hAnsi="方正仿宋_GBK" w:eastAsia="方正仿宋_GBK" w:cs="方正仿宋_GBK"/>
                <w:color w:val="auto"/>
                <w:sz w:val="28"/>
                <w:szCs w:val="28"/>
                <w:u w:val="none"/>
              </w:rPr>
            </w:pPr>
          </w:p>
          <w:p>
            <w:pPr>
              <w:ind w:firstLine="1120" w:firstLineChars="400"/>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（盖章）</w:t>
            </w:r>
          </w:p>
          <w:p>
            <w:pPr>
              <w:rPr>
                <w:rFonts w:hint="eastAsia" w:ascii="方正仿宋_GBK" w:hAnsi="方正仿宋_GBK" w:eastAsia="方正仿宋_GBK" w:cs="方正仿宋_GBK"/>
                <w:color w:val="auto"/>
                <w:sz w:val="28"/>
                <w:szCs w:val="28"/>
                <w:u w:val="none"/>
              </w:rPr>
            </w:pPr>
          </w:p>
          <w:p>
            <w:pPr>
              <w:jc w:val="center"/>
              <w:rPr>
                <w:rFonts w:hint="eastAsia" w:ascii="方正仿宋_GBK" w:hAnsi="方正仿宋_GBK" w:eastAsia="方正仿宋_GBK" w:cs="方正仿宋_GBK"/>
                <w:color w:val="auto"/>
                <w:sz w:val="28"/>
                <w:szCs w:val="28"/>
                <w:u w:val="none"/>
              </w:rPr>
            </w:pPr>
            <w:r>
              <w:rPr>
                <w:rFonts w:hint="eastAsia" w:ascii="方正仿宋_GBK" w:hAnsi="方正仿宋_GBK" w:eastAsia="方正仿宋_GBK" w:cs="方正仿宋_GBK"/>
                <w:color w:val="auto"/>
                <w:sz w:val="28"/>
                <w:szCs w:val="28"/>
                <w:u w:val="none"/>
              </w:rPr>
              <w:t xml:space="preserve"> 年  月  日</w:t>
            </w:r>
          </w:p>
        </w:tc>
      </w:tr>
    </w:tbl>
    <w:p>
      <w:pPr>
        <w:spacing w:line="440" w:lineRule="exact"/>
        <w:jc w:val="center"/>
        <w:rPr>
          <w:rFonts w:ascii="仿宋" w:hAnsi="仿宋" w:eastAsia="仿宋"/>
          <w:b/>
          <w:bCs/>
          <w:color w:val="auto"/>
          <w:sz w:val="24"/>
          <w:u w:val="none"/>
        </w:rPr>
      </w:pPr>
    </w:p>
    <w:p/>
    <w:sectPr>
      <w:pgSz w:w="11906" w:h="16838"/>
      <w:pgMar w:top="2098" w:right="1417" w:bottom="2098" w:left="1531" w:header="720" w:footer="720" w:gutter="0"/>
      <w:cols w:space="72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61C182C-61A4-42A7-8FF4-D643AAE60C1A}"/>
  </w:font>
  <w:font w:name="黑体">
    <w:panose1 w:val="02010609060101010101"/>
    <w:charset w:val="86"/>
    <w:family w:val="auto"/>
    <w:pitch w:val="default"/>
    <w:sig w:usb0="800002BF" w:usb1="38CF7CFA" w:usb2="00000016" w:usb3="00000000" w:csb0="00040001" w:csb1="00000000"/>
    <w:embedRegular r:id="rId2" w:fontKey="{455D9CC3-5DB3-49C6-85ED-0519D77D35C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E08966AC-9E59-4088-8141-6CB143C09CD5}"/>
  </w:font>
  <w:font w:name="仿宋">
    <w:panose1 w:val="02010609060101010101"/>
    <w:charset w:val="86"/>
    <w:family w:val="auto"/>
    <w:pitch w:val="default"/>
    <w:sig w:usb0="800002BF" w:usb1="38CF7CFA" w:usb2="00000016" w:usb3="00000000" w:csb0="00040001" w:csb1="00000000"/>
    <w:embedRegular r:id="rId4" w:fontKey="{B9D7D335-4507-457C-B2B1-C5E7B37F263C}"/>
  </w:font>
  <w:font w:name="Arial Unicode MS">
    <w:panose1 w:val="020B0604020202020204"/>
    <w:charset w:val="86"/>
    <w:family w:val="auto"/>
    <w:pitch w:val="default"/>
    <w:sig w:usb0="FFFFFFFF" w:usb1="E9FFFFFF" w:usb2="0000003F" w:usb3="00000000" w:csb0="603F01FF" w:csb1="FFFF0000"/>
    <w:embedRegular r:id="rId5" w:fontKey="{3C161588-7846-49EB-9C75-D3C90A535FE5}"/>
  </w:font>
  <w:font w:name="方正小标宋_GBK">
    <w:panose1 w:val="02000000000000000000"/>
    <w:charset w:val="86"/>
    <w:family w:val="auto"/>
    <w:pitch w:val="default"/>
    <w:sig w:usb0="A00002BF" w:usb1="38CF7CFA" w:usb2="00082016" w:usb3="00000000" w:csb0="00040001" w:csb1="00000000"/>
    <w:embedRegular r:id="rId6" w:fontKey="{70B0F470-ADC0-4623-B156-B1419701E62C}"/>
  </w:font>
  <w:font w:name="方正楷体_GBK">
    <w:altName w:val="微软雅黑"/>
    <w:panose1 w:val="03000509000000000000"/>
    <w:charset w:val="86"/>
    <w:family w:val="auto"/>
    <w:pitch w:val="default"/>
    <w:sig w:usb0="00000000" w:usb1="00000000" w:usb2="00000000" w:usb3="00000000" w:csb0="00040000" w:csb1="00000000"/>
    <w:embedRegular r:id="rId7" w:fontKey="{A3A088C2-A841-4E8D-AF54-278E949B2870}"/>
  </w:font>
  <w:font w:name="方正仿宋_GBK">
    <w:panose1 w:val="02000000000000000000"/>
    <w:charset w:val="86"/>
    <w:family w:val="script"/>
    <w:pitch w:val="default"/>
    <w:sig w:usb0="A00002BF" w:usb1="38CF7CFA" w:usb2="00082016" w:usb3="00000000" w:csb0="00040001" w:csb1="00000000"/>
    <w:embedRegular r:id="rId8" w:fontKey="{F4C6773E-48FA-4FCA-9F15-4A0FF976DB75}"/>
  </w:font>
  <w:font w:name="楷体_GB2312">
    <w:panose1 w:val="02010609030101010101"/>
    <w:charset w:val="86"/>
    <w:family w:val="modern"/>
    <w:pitch w:val="default"/>
    <w:sig w:usb0="00000001" w:usb1="080E0000" w:usb2="00000000" w:usb3="00000000" w:csb0="00040000" w:csb1="00000000"/>
    <w:embedRegular r:id="rId9" w:fontKey="{B1119626-B76E-40BF-818C-9939F3AF3F19}"/>
  </w:font>
  <w:font w:name="Wingdings 2">
    <w:panose1 w:val="05020102010507070707"/>
    <w:charset w:val="02"/>
    <w:family w:val="auto"/>
    <w:pitch w:val="default"/>
    <w:sig w:usb0="00000000" w:usb1="00000000" w:usb2="00000000" w:usb3="00000000" w:csb0="80000000" w:csb1="00000000"/>
    <w:embedRegular r:id="rId10" w:fontKey="{8D19B9A3-B5CA-432B-9B16-3143A8D7F784}"/>
  </w:font>
  <w:font w:name="楷体">
    <w:panose1 w:val="02010609060101010101"/>
    <w:charset w:val="86"/>
    <w:family w:val="auto"/>
    <w:pitch w:val="default"/>
    <w:sig w:usb0="800002BF" w:usb1="38CF7CFA" w:usb2="00000016" w:usb3="00000000" w:csb0="00040001" w:csb1="00000000"/>
    <w:embedRegular r:id="rId11" w:fontKey="{2414371B-65E9-4CF3-BB32-1E2575F9DBC9}"/>
  </w:font>
  <w:font w:name="Helvetica">
    <w:altName w:val="Arial"/>
    <w:panose1 w:val="020B0504020202030204"/>
    <w:charset w:val="00"/>
    <w:family w:val="auto"/>
    <w:pitch w:val="default"/>
    <w:sig w:usb0="00000000" w:usb1="00000000" w:usb2="00000000" w:usb3="00000000" w:csb0="00000093" w:csb1="00000000"/>
    <w:embedRegular r:id="rId12" w:fontKey="{DC83A83C-3CA7-4D8F-8A59-6B7466CC37A6}"/>
  </w:font>
  <w:font w:name="方正小标宋简体">
    <w:panose1 w:val="03000509000000000000"/>
    <w:charset w:val="86"/>
    <w:family w:val="auto"/>
    <w:pitch w:val="default"/>
    <w:sig w:usb0="00000001" w:usb1="080E0000" w:usb2="00000000" w:usb3="00000000" w:csb0="00040000" w:csb1="00000000"/>
    <w:embedRegular r:id="rId13" w:fontKey="{B91B6EB8-7662-429B-ACE1-230DBE658321}"/>
  </w:font>
  <w:font w:name="微软雅黑">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9"/>
      </w:pPr>
      <w:r>
        <w:rPr>
          <w:rStyle w:val="17"/>
        </w:rPr>
        <w:footnoteRef/>
      </w:r>
      <w:r>
        <w:rPr>
          <w:rFonts w:hint="eastAsia"/>
        </w:rPr>
        <w:t>有教育部颁布</w:t>
      </w:r>
      <w:r>
        <w:t>的专业</w:t>
      </w:r>
      <w:r>
        <w:rPr>
          <w:rFonts w:hint="eastAsia"/>
        </w:rPr>
        <w:t>教学标准的</w:t>
      </w:r>
      <w:r>
        <w:t>，参照标准，结合自身专业</w:t>
      </w:r>
      <w:r>
        <w:rPr>
          <w:rFonts w:hint="eastAsia"/>
        </w:rPr>
        <w:t>调研情况拟定</w:t>
      </w:r>
      <w:r>
        <w:t>，不得低于部</w:t>
      </w:r>
      <w:r>
        <w:rPr>
          <w:rFonts w:hint="eastAsia"/>
        </w:rPr>
        <w:t>颁</w:t>
      </w:r>
      <w:r>
        <w:t>标准</w:t>
      </w:r>
      <w:r>
        <w:rPr>
          <w:rFonts w:hint="eastAsia"/>
        </w:rPr>
        <w:t>；</w:t>
      </w:r>
      <w:r>
        <w:t>如无</w:t>
      </w:r>
      <w:r>
        <w:rPr>
          <w:rFonts w:hint="eastAsia"/>
        </w:rPr>
        <w:t>部</w:t>
      </w:r>
      <w:r>
        <w:t>颁标准，请</w:t>
      </w:r>
      <w:r>
        <w:rPr>
          <w:rFonts w:hint="eastAsia"/>
        </w:rPr>
        <w:t>根据专业</w:t>
      </w:r>
      <w:r>
        <w:t>调研情况，自行拟定</w:t>
      </w:r>
      <w:r>
        <w:rPr>
          <w:rFonts w:hint="eastAsia"/>
        </w:rPr>
        <w:t>。</w:t>
      </w:r>
    </w:p>
  </w:footnote>
  <w:footnote w:id="1">
    <w:p>
      <w:pPr>
        <w:pStyle w:val="9"/>
        <w:rPr>
          <w:rFonts w:hint="eastAsia" w:eastAsia="宋体"/>
          <w:lang w:eastAsia="zh-CN"/>
        </w:rPr>
      </w:pPr>
      <w:r>
        <w:rPr>
          <w:rStyle w:val="17"/>
        </w:rPr>
        <w:footnoteRef/>
      </w:r>
      <w:r>
        <w:rPr>
          <w:rFonts w:hint="eastAsia"/>
        </w:rPr>
        <w:t>GB/T4754-2017国民经济行业分类（中华人民共和国国家标准）</w:t>
      </w:r>
      <w:r>
        <w:rPr>
          <w:rFonts w:hint="eastAsia"/>
          <w:lang w:eastAsia="zh-CN"/>
        </w:rPr>
        <w:t>。</w:t>
      </w:r>
    </w:p>
  </w:footnote>
  <w:footnote w:id="2">
    <w:p>
      <w:pPr>
        <w:pStyle w:val="9"/>
        <w:rPr>
          <w:rFonts w:hint="eastAsia"/>
        </w:rPr>
      </w:pPr>
      <w:r>
        <w:rPr>
          <w:rStyle w:val="17"/>
        </w:rPr>
        <w:footnoteRef/>
      </w:r>
      <w:r>
        <w:rPr>
          <w:rFonts w:hint="eastAsia"/>
        </w:rPr>
        <w:t>从中国职业</w:t>
      </w:r>
      <w:r>
        <w:rPr>
          <w:rFonts w:hint="eastAsia"/>
          <w:lang w:eastAsia="zh-CN"/>
        </w:rPr>
        <w:t>分类</w:t>
      </w:r>
      <w:r>
        <w:rPr>
          <w:rFonts w:hint="eastAsia"/>
        </w:rPr>
        <w:t>大典中选择</w:t>
      </w:r>
      <w:r>
        <w:rPr>
          <w:rFonts w:hint="eastAsia"/>
          <w:lang w:eastAsia="zh-CN"/>
        </w:rPr>
        <w:t>，可从</w:t>
      </w:r>
      <w:r>
        <w:rPr>
          <w:rFonts w:hint="eastAsia"/>
        </w:rPr>
        <w:fldChar w:fldCharType="begin"/>
      </w:r>
      <w:r>
        <w:rPr>
          <w:rFonts w:hint="eastAsia"/>
        </w:rPr>
        <w:instrText xml:space="preserve"> HYPERLINK "http://www.osta.org.cn/fenlei.html" </w:instrText>
      </w:r>
      <w:r>
        <w:rPr>
          <w:rFonts w:hint="eastAsia"/>
        </w:rPr>
        <w:fldChar w:fldCharType="separate"/>
      </w:r>
      <w:r>
        <w:rPr>
          <w:rFonts w:hint="eastAsia"/>
        </w:rPr>
        <w:t>职业分类系统</w:t>
      </w:r>
      <w:r>
        <w:rPr>
          <w:rFonts w:hint="eastAsia"/>
        </w:rPr>
        <w:fldChar w:fldCharType="end"/>
      </w:r>
      <w:r>
        <w:rPr>
          <w:rFonts w:hint="eastAsia"/>
          <w:lang w:val="en-US" w:eastAsia="zh-CN"/>
        </w:rPr>
        <w:t>(</w:t>
      </w:r>
      <w:r>
        <w:rPr>
          <w:rFonts w:hint="eastAsia"/>
        </w:rPr>
        <w:t>osta.org.cn/fenlei.html</w:t>
      </w:r>
      <w:r>
        <w:rPr>
          <w:rFonts w:hint="eastAsia"/>
          <w:lang w:val="en-US" w:eastAsia="zh-CN"/>
        </w:rPr>
        <w:t>)</w:t>
      </w:r>
      <w:r>
        <w:rPr>
          <w:rFonts w:hint="eastAsia"/>
          <w:lang w:eastAsia="zh-CN"/>
        </w:rPr>
        <w:t>查询。</w:t>
      </w:r>
    </w:p>
    <w:p>
      <w:pPr>
        <w:pStyle w:val="9"/>
        <w:rPr>
          <w:rFonts w:hint="eastAsia"/>
        </w:rPr>
      </w:pPr>
    </w:p>
    <w:p>
      <w:pPr>
        <w:pStyle w:val="9"/>
        <w:rPr>
          <w:rFonts w:hint="eastAsia"/>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TrueTypeFonts/>
  <w:saveSubsetFonts/>
  <w:bordersDoNotSurroundHeader w:val="0"/>
  <w:bordersDoNotSurroundFooter w:val="0"/>
  <w:documentProtection w:enforcement="0"/>
  <w:defaultTabStop w:val="420"/>
  <w:hyphenationZone w:val="360"/>
  <w:drawingGridVerticalSpacing w:val="159"/>
  <w:displayHorizontalDrawingGridEvery w:val="1"/>
  <w:displayVerticalDrawingGridEvery w:val="1"/>
  <w:noPunctuationKerning w:val="1"/>
  <w:characterSpacingControl w:val="compressPunctuation"/>
  <w:footnotePr>
    <w:footnote w:id="6"/>
    <w:footnote w:id="7"/>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NiZmYzZmIyMjZlMTVjMjY2MjJhOWQyNTc2ZDVhMmUifQ=="/>
  </w:docVars>
  <w:rsids>
    <w:rsidRoot w:val="D53BC36C"/>
    <w:rsid w:val="005A7830"/>
    <w:rsid w:val="01AF5E91"/>
    <w:rsid w:val="01E44FDB"/>
    <w:rsid w:val="043D36FD"/>
    <w:rsid w:val="05851FBD"/>
    <w:rsid w:val="064F5C38"/>
    <w:rsid w:val="06C158EB"/>
    <w:rsid w:val="10E65908"/>
    <w:rsid w:val="1113541C"/>
    <w:rsid w:val="11170D02"/>
    <w:rsid w:val="16016621"/>
    <w:rsid w:val="18890C8D"/>
    <w:rsid w:val="1D2E6E1A"/>
    <w:rsid w:val="1E01664D"/>
    <w:rsid w:val="1E0C1593"/>
    <w:rsid w:val="1F282554"/>
    <w:rsid w:val="1F9466A4"/>
    <w:rsid w:val="266A1305"/>
    <w:rsid w:val="26E8610E"/>
    <w:rsid w:val="274C0DA9"/>
    <w:rsid w:val="296E3259"/>
    <w:rsid w:val="2CB27B57"/>
    <w:rsid w:val="30C93059"/>
    <w:rsid w:val="343C50A3"/>
    <w:rsid w:val="355F5B24"/>
    <w:rsid w:val="35D13824"/>
    <w:rsid w:val="3733163E"/>
    <w:rsid w:val="37945EB7"/>
    <w:rsid w:val="383B4C4E"/>
    <w:rsid w:val="38941661"/>
    <w:rsid w:val="3BF85963"/>
    <w:rsid w:val="3F46706B"/>
    <w:rsid w:val="3FB41724"/>
    <w:rsid w:val="41474664"/>
    <w:rsid w:val="41C21CDF"/>
    <w:rsid w:val="41C807A8"/>
    <w:rsid w:val="41F6662B"/>
    <w:rsid w:val="46853C85"/>
    <w:rsid w:val="477D7E68"/>
    <w:rsid w:val="49B24558"/>
    <w:rsid w:val="4B257098"/>
    <w:rsid w:val="4C383D99"/>
    <w:rsid w:val="4C76404F"/>
    <w:rsid w:val="4DF50B92"/>
    <w:rsid w:val="4FDD7CAB"/>
    <w:rsid w:val="501E1B3C"/>
    <w:rsid w:val="50F91853"/>
    <w:rsid w:val="52E94935"/>
    <w:rsid w:val="550935DC"/>
    <w:rsid w:val="55837FB8"/>
    <w:rsid w:val="563D0C56"/>
    <w:rsid w:val="568C2588"/>
    <w:rsid w:val="572D0293"/>
    <w:rsid w:val="590429E2"/>
    <w:rsid w:val="59F35F66"/>
    <w:rsid w:val="5DEC306F"/>
    <w:rsid w:val="5F2D41D5"/>
    <w:rsid w:val="6025396A"/>
    <w:rsid w:val="66A366BF"/>
    <w:rsid w:val="68BB4313"/>
    <w:rsid w:val="699D0A15"/>
    <w:rsid w:val="69F38E1D"/>
    <w:rsid w:val="6A78A08E"/>
    <w:rsid w:val="6B3037F7"/>
    <w:rsid w:val="6B5305B1"/>
    <w:rsid w:val="6D5E6104"/>
    <w:rsid w:val="6DFF49C6"/>
    <w:rsid w:val="6E1942F6"/>
    <w:rsid w:val="73385066"/>
    <w:rsid w:val="7507768A"/>
    <w:rsid w:val="76676633"/>
    <w:rsid w:val="77D05F9B"/>
    <w:rsid w:val="78D041AE"/>
    <w:rsid w:val="7B5A3FE2"/>
    <w:rsid w:val="7CA65E91"/>
    <w:rsid w:val="7EBB576E"/>
    <w:rsid w:val="7FAF2119"/>
    <w:rsid w:val="7FBB25FF"/>
    <w:rsid w:val="7FFDE1D9"/>
    <w:rsid w:val="9FFB472C"/>
    <w:rsid w:val="D53BC36C"/>
    <w:rsid w:val="ECFB6366"/>
    <w:rsid w:val="FD4EB44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qFormat/>
    <w:uiPriority w:val="0"/>
    <w:pPr>
      <w:keepNext/>
      <w:keepLines/>
      <w:spacing w:before="280" w:after="290" w:line="372" w:lineRule="auto"/>
      <w:outlineLvl w:val="3"/>
    </w:pPr>
    <w:rPr>
      <w:rFonts w:ascii="Arial" w:hAnsi="Arial" w:eastAsia="黑体"/>
      <w:b/>
      <w:sz w:val="28"/>
    </w:rPr>
  </w:style>
  <w:style w:type="character" w:default="1" w:styleId="14">
    <w:name w:val="Default Paragraph Font"/>
    <w:autoRedefine/>
    <w:semiHidden/>
    <w:qFormat/>
    <w:uiPriority w:val="0"/>
  </w:style>
  <w:style w:type="table" w:default="1" w:styleId="12">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1"/>
    <w:qFormat/>
    <w:uiPriority w:val="0"/>
    <w:pPr>
      <w:spacing w:line="360" w:lineRule="auto"/>
      <w:ind w:firstLine="567"/>
    </w:pPr>
    <w:rPr>
      <w:sz w:val="28"/>
      <w:szCs w:val="20"/>
    </w:rPr>
  </w:style>
  <w:style w:type="paragraph" w:styleId="6">
    <w:name w:val="Body Text"/>
    <w:basedOn w:val="1"/>
    <w:unhideWhenUsed/>
    <w:qFormat/>
    <w:uiPriority w:val="1"/>
    <w:pPr>
      <w:spacing w:beforeLines="0" w:afterLines="0"/>
    </w:pPr>
    <w:rPr>
      <w:rFonts w:hint="eastAsia" w:ascii="仿宋" w:hAnsi="仿宋" w:eastAsia="仿宋" w:cs="仿宋"/>
      <w:sz w:val="28"/>
      <w:szCs w:val="28"/>
      <w:lang w:val="zh-CN" w:bidi="zh-CN"/>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basedOn w:val="1"/>
    <w:autoRedefine/>
    <w:qFormat/>
    <w:uiPriority w:val="0"/>
    <w:pPr>
      <w:snapToGrid w:val="0"/>
      <w:jc w:val="left"/>
    </w:pPr>
    <w:rPr>
      <w:sz w:val="18"/>
    </w:rPr>
  </w:style>
  <w:style w:type="paragraph" w:styleId="10">
    <w:name w:val="Normal (Web)"/>
    <w:basedOn w:val="1"/>
    <w:qFormat/>
    <w:uiPriority w:val="0"/>
    <w:pPr>
      <w:spacing w:before="100" w:beforeAutospacing="1" w:after="100" w:afterAutospacing="1"/>
      <w:ind w:left="0" w:right="0"/>
      <w:jc w:val="left"/>
    </w:pPr>
    <w:rPr>
      <w:kern w:val="0"/>
      <w:sz w:val="24"/>
      <w:lang w:val="en-US" w:eastAsia="zh-CN" w:bidi="ar"/>
    </w:rPr>
  </w:style>
  <w:style w:type="paragraph" w:styleId="11">
    <w:name w:val="Body Text First Indent"/>
    <w:basedOn w:val="6"/>
    <w:next w:val="1"/>
    <w:unhideWhenUsed/>
    <w:qFormat/>
    <w:uiPriority w:val="99"/>
    <w:pPr>
      <w:widowControl w:val="0"/>
      <w:spacing w:beforeLines="0" w:afterLines="0" w:line="400" w:lineRule="atLeast"/>
      <w:ind w:firstLine="426"/>
      <w:jc w:val="both"/>
    </w:pPr>
    <w:rPr>
      <w:rFonts w:hint="eastAsia" w:ascii="仿宋" w:hAnsi="仿宋" w:eastAsia="仿宋" w:cs="仿宋"/>
      <w:kern w:val="2"/>
      <w:sz w:val="28"/>
      <w:szCs w:val="20"/>
      <w:lang w:val="zh-CN" w:eastAsia="zh-CN" w:bidi="zh-CN"/>
    </w:rPr>
  </w:style>
  <w:style w:type="table" w:styleId="13">
    <w:name w:val="Table Grid"/>
    <w:basedOn w:val="12"/>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autoRedefine/>
    <w:qFormat/>
    <w:uiPriority w:val="0"/>
    <w:rPr>
      <w:b/>
    </w:rPr>
  </w:style>
  <w:style w:type="character" w:styleId="16">
    <w:name w:val="Emphasis"/>
    <w:basedOn w:val="14"/>
    <w:qFormat/>
    <w:uiPriority w:val="0"/>
    <w:rPr>
      <w:i/>
    </w:rPr>
  </w:style>
  <w:style w:type="character" w:styleId="17">
    <w:name w:val="footnote reference"/>
    <w:basedOn w:val="14"/>
    <w:autoRedefine/>
    <w:qFormat/>
    <w:uiPriority w:val="0"/>
    <w:rPr>
      <w:vertAlign w:val="superscript"/>
    </w:rPr>
  </w:style>
  <w:style w:type="paragraph" w:customStyle="1" w:styleId="18">
    <w:name w:val="首行缩进"/>
    <w:basedOn w:val="1"/>
    <w:qFormat/>
    <w:uiPriority w:val="0"/>
  </w:style>
  <w:style w:type="table" w:customStyle="1" w:styleId="19">
    <w:name w:val="网格型18"/>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样式5"/>
    <w:basedOn w:val="1"/>
    <w:autoRedefine/>
    <w:qFormat/>
    <w:uiPriority w:val="0"/>
    <w:pPr>
      <w:widowControl/>
      <w:spacing w:line="300" w:lineRule="auto"/>
      <w:jc w:val="left"/>
    </w:pPr>
    <w:rPr>
      <w:rFonts w:ascii="宋体" w:hAnsi="宋体" w:eastAsia="宋体" w:cs="Times New Roman"/>
      <w:color w:val="000000"/>
      <w:kern w:val="0"/>
      <w:sz w:val="24"/>
      <w:szCs w:val="24"/>
    </w:rPr>
  </w:style>
  <w:style w:type="paragraph" w:customStyle="1" w:styleId="21">
    <w:name w:val="Table Text"/>
    <w:basedOn w:val="1"/>
    <w:autoRedefine/>
    <w:semiHidden/>
    <w:qFormat/>
    <w:uiPriority w:val="0"/>
    <w:rPr>
      <w:rFonts w:ascii="宋体" w:hAnsi="宋体" w:eastAsia="宋体" w:cs="宋体"/>
      <w:sz w:val="20"/>
      <w:szCs w:val="20"/>
      <w:lang w:val="en-US" w:eastAsia="en-US" w:bidi="ar-SA"/>
    </w:rPr>
  </w:style>
  <w:style w:type="character" w:customStyle="1" w:styleId="22">
    <w:name w:val="font11"/>
    <w:basedOn w:val="14"/>
    <w:autoRedefine/>
    <w:qFormat/>
    <w:uiPriority w:val="0"/>
    <w:rPr>
      <w:rFonts w:hint="eastAsia" w:ascii="宋体" w:hAnsi="宋体" w:eastAsia="宋体" w:cs="宋体"/>
      <w:color w:val="000000"/>
      <w:sz w:val="22"/>
      <w:szCs w:val="22"/>
      <w:u w:val="none"/>
    </w:rPr>
  </w:style>
  <w:style w:type="paragraph" w:customStyle="1" w:styleId="23">
    <w:name w:val="表格"/>
    <w:basedOn w:val="1"/>
    <w:autoRedefine/>
    <w:qFormat/>
    <w:uiPriority w:val="0"/>
    <w:pPr>
      <w:widowControl/>
      <w:spacing w:line="300" w:lineRule="exact"/>
      <w:ind w:firstLine="0" w:firstLineChars="0"/>
      <w:textAlignment w:val="center"/>
    </w:pPr>
    <w:rPr>
      <w:rFonts w:ascii="仿宋" w:hAnsi="仿宋" w:eastAsia="仿宋" w:cs="仿宋"/>
      <w:bCs/>
      <w:kern w:val="0"/>
      <w:sz w:val="21"/>
      <w:szCs w:val="21"/>
    </w:rPr>
  </w:style>
  <w:style w:type="character" w:customStyle="1" w:styleId="24">
    <w:name w:val="font21"/>
    <w:basedOn w:val="14"/>
    <w:qFormat/>
    <w:uiPriority w:val="0"/>
    <w:rPr>
      <w:rFonts w:hint="eastAsia" w:ascii="宋体" w:hAnsi="宋体" w:eastAsia="宋体" w:cs="宋体"/>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59</Pages>
  <Words>31142</Words>
  <Characters>33392</Characters>
  <Lines>0</Lines>
  <Paragraphs>0</Paragraphs>
  <TotalTime>10</TotalTime>
  <ScaleCrop>false</ScaleCrop>
  <LinksUpToDate>false</LinksUpToDate>
  <CharactersWithSpaces>33518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2023-11-03T03:12:00Z</dcterms:created>
  <dc:creator>thtf</dc:creator>
  <cp:lastModifiedBy>→吟空§</cp:lastModifiedBy>
  <dcterms:modified xsi:type="dcterms:W3CDTF">2024-08-27T06:53:03Z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5CE11EEE92BD4558BB7EFD28934F20C2_13</vt:lpwstr>
  </property>
</Properties>
</file>