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黑体" w:hAnsi="黑体" w:eastAsia="黑体"/>
          <w:color w:val="000000"/>
          <w:sz w:val="36"/>
          <w:szCs w:val="36"/>
          <w:highlight w:val="none"/>
        </w:rPr>
      </w:pPr>
      <w:r>
        <w:rPr>
          <w:rFonts w:hint="eastAsia" w:ascii="黑体" w:hAnsi="黑体" w:eastAsia="黑体"/>
          <w:color w:val="000000"/>
          <w:sz w:val="36"/>
          <w:szCs w:val="36"/>
          <w:highlight w:val="none"/>
        </w:rPr>
        <w:t>《现代物流管理》专业人才培养方案</w:t>
      </w:r>
    </w:p>
    <w:p>
      <w:pPr>
        <w:spacing w:line="460" w:lineRule="exact"/>
        <w:rPr>
          <w:color w:val="000000"/>
          <w:sz w:val="28"/>
          <w:szCs w:val="28"/>
          <w:highlight w:val="none"/>
        </w:rPr>
      </w:pPr>
    </w:p>
    <w:p>
      <w:pPr>
        <w:spacing w:line="460" w:lineRule="exact"/>
        <w:rPr>
          <w:color w:val="000000"/>
          <w:sz w:val="28"/>
          <w:szCs w:val="28"/>
          <w:highlight w:val="none"/>
        </w:rPr>
      </w:pPr>
      <w:r>
        <w:rPr>
          <w:rFonts w:hint="eastAsia"/>
          <w:color w:val="000000"/>
          <w:sz w:val="28"/>
          <w:szCs w:val="28"/>
          <w:highlight w:val="none"/>
        </w:rPr>
        <w:t>专业大类：财经商贸</w:t>
      </w:r>
    </w:p>
    <w:p>
      <w:pPr>
        <w:spacing w:line="460" w:lineRule="exact"/>
        <w:rPr>
          <w:color w:val="000000"/>
          <w:sz w:val="28"/>
          <w:szCs w:val="28"/>
          <w:highlight w:val="none"/>
        </w:rPr>
      </w:pPr>
      <w:r>
        <w:rPr>
          <w:rFonts w:hint="eastAsia"/>
          <w:color w:val="000000"/>
          <w:sz w:val="28"/>
          <w:szCs w:val="28"/>
          <w:highlight w:val="none"/>
        </w:rPr>
        <w:t>专业名称（专业代码）：现代物流管理（</w:t>
      </w:r>
      <w:r>
        <w:rPr>
          <w:color w:val="000000"/>
          <w:sz w:val="28"/>
          <w:szCs w:val="28"/>
          <w:highlight w:val="none"/>
        </w:rPr>
        <w:t>530802</w:t>
      </w:r>
      <w:r>
        <w:rPr>
          <w:rFonts w:hint="eastAsia"/>
          <w:color w:val="000000"/>
          <w:sz w:val="28"/>
          <w:szCs w:val="28"/>
          <w:highlight w:val="none"/>
        </w:rPr>
        <w:t>）</w:t>
      </w:r>
    </w:p>
    <w:p>
      <w:pPr>
        <w:spacing w:line="46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专业方向</w:t>
      </w:r>
      <w:r>
        <w:rPr>
          <w:color w:val="000000"/>
          <w:sz w:val="28"/>
          <w:szCs w:val="28"/>
        </w:rPr>
        <w:t>：</w:t>
      </w:r>
    </w:p>
    <w:p>
      <w:pPr>
        <w:spacing w:line="460" w:lineRule="exact"/>
        <w:rPr>
          <w:color w:val="000000"/>
          <w:sz w:val="28"/>
          <w:szCs w:val="28"/>
        </w:rPr>
      </w:pPr>
    </w:p>
    <w:p>
      <w:pPr>
        <w:adjustRightInd w:val="0"/>
        <w:snapToGrid w:val="0"/>
        <w:spacing w:line="50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一、入学要求</w:t>
      </w:r>
    </w:p>
    <w:p>
      <w:pPr>
        <w:adjustRightInd w:val="0"/>
        <w:snapToGrid w:val="0"/>
        <w:spacing w:line="500" w:lineRule="exact"/>
        <w:rPr>
          <w:rFonts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Cs w:val="21"/>
        </w:rPr>
        <w:t>普通高级中学毕业或中等职业学校毕业。</w:t>
      </w:r>
    </w:p>
    <w:p>
      <w:pPr>
        <w:adjustRightInd w:val="0"/>
        <w:snapToGrid w:val="0"/>
        <w:spacing w:line="500" w:lineRule="exact"/>
        <w:rPr>
          <w:color w:val="000000"/>
          <w:sz w:val="28"/>
          <w:szCs w:val="28"/>
        </w:rPr>
      </w:pPr>
    </w:p>
    <w:p>
      <w:pPr>
        <w:adjustRightInd w:val="0"/>
        <w:snapToGrid w:val="0"/>
        <w:spacing w:line="50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二、基本修业年限</w:t>
      </w:r>
    </w:p>
    <w:p>
      <w:pPr>
        <w:spacing w:line="460" w:lineRule="exact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三年</w:t>
      </w:r>
    </w:p>
    <w:p>
      <w:pPr>
        <w:spacing w:line="460" w:lineRule="exact"/>
        <w:rPr>
          <w:color w:val="000000"/>
          <w:sz w:val="28"/>
          <w:szCs w:val="28"/>
        </w:rPr>
      </w:pPr>
    </w:p>
    <w:p>
      <w:pPr>
        <w:spacing w:line="46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三、职业面向</w:t>
      </w:r>
    </w:p>
    <w:p>
      <w:pPr>
        <w:spacing w:line="460" w:lineRule="exact"/>
        <w:jc w:val="center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表1 本专业职业面向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356"/>
        <w:gridCol w:w="2000"/>
        <w:gridCol w:w="1644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所属专业大类</w:t>
            </w:r>
          </w:p>
          <w:p>
            <w:pPr>
              <w:spacing w:line="4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（代码）</w:t>
            </w:r>
          </w:p>
        </w:tc>
        <w:tc>
          <w:tcPr>
            <w:tcW w:w="135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所属专业类</w:t>
            </w:r>
          </w:p>
          <w:p>
            <w:pPr>
              <w:spacing w:line="4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（代码）</w:t>
            </w:r>
          </w:p>
        </w:tc>
        <w:tc>
          <w:tcPr>
            <w:tcW w:w="200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对应行业</w:t>
            </w:r>
          </w:p>
        </w:tc>
        <w:tc>
          <w:tcPr>
            <w:tcW w:w="164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主要职业类别</w:t>
            </w:r>
          </w:p>
        </w:tc>
        <w:tc>
          <w:tcPr>
            <w:tcW w:w="208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主要岗位群或技术领域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1635" w:type="dxa"/>
            <w:vAlign w:val="center"/>
          </w:tcPr>
          <w:p>
            <w:pPr>
              <w:pStyle w:val="11"/>
              <w:spacing w:after="100" w:line="240" w:lineRule="auto"/>
              <w:ind w:firstLine="0"/>
              <w:jc w:val="center"/>
              <w:rPr>
                <w:rFonts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财经商贸大类</w:t>
            </w:r>
          </w:p>
          <w:p>
            <w:pPr>
              <w:spacing w:line="460" w:lineRule="exact"/>
              <w:jc w:val="center"/>
              <w:rPr>
                <w:rFonts w:ascii="宋体" w:hAnsi="宋体" w:eastAsia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highlight w:val="none"/>
              </w:rPr>
              <w:t>（53）</w:t>
            </w:r>
          </w:p>
        </w:tc>
        <w:tc>
          <w:tcPr>
            <w:tcW w:w="1356" w:type="dxa"/>
            <w:vAlign w:val="center"/>
          </w:tcPr>
          <w:p>
            <w:pPr>
              <w:pStyle w:val="11"/>
              <w:spacing w:after="100" w:line="240" w:lineRule="auto"/>
              <w:ind w:firstLine="0"/>
              <w:jc w:val="center"/>
              <w:rPr>
                <w:rFonts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物流类</w:t>
            </w:r>
          </w:p>
          <w:p>
            <w:pPr>
              <w:pStyle w:val="11"/>
              <w:spacing w:after="100" w:line="240" w:lineRule="auto"/>
              <w:ind w:firstLine="0"/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（530</w:t>
            </w:r>
            <w:r>
              <w:rPr>
                <w:rFonts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8</w:t>
            </w:r>
            <w:r>
              <w:rPr>
                <w:rFonts w:hint="eastAsia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）</w:t>
            </w:r>
          </w:p>
        </w:tc>
        <w:tc>
          <w:tcPr>
            <w:tcW w:w="2000" w:type="dxa"/>
            <w:vAlign w:val="center"/>
          </w:tcPr>
          <w:p>
            <w:pPr>
              <w:pStyle w:val="11"/>
              <w:spacing w:after="100" w:line="240" w:lineRule="auto"/>
              <w:ind w:firstLine="0"/>
              <w:jc w:val="center"/>
              <w:rPr>
                <w:rFonts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 w:bidi="ar-SA"/>
              </w:rPr>
              <w:t>批发零售；</w:t>
            </w:r>
          </w:p>
          <w:p>
            <w:pPr>
              <w:pStyle w:val="11"/>
              <w:spacing w:after="100" w:line="240" w:lineRule="auto"/>
              <w:ind w:firstLine="0"/>
              <w:jc w:val="center"/>
              <w:rPr>
                <w:rFonts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 w:bidi="ar-SA"/>
              </w:rPr>
              <w:t>多式联运和运输代理业（58）；</w:t>
            </w:r>
          </w:p>
          <w:p>
            <w:pPr>
              <w:pStyle w:val="11"/>
              <w:spacing w:after="100" w:line="240" w:lineRule="auto"/>
              <w:ind w:firstLine="0"/>
              <w:jc w:val="center"/>
              <w:rPr>
                <w:color w:val="000000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 w:bidi="ar-SA"/>
              </w:rPr>
              <w:t>装卸搬运和仓储业（59）</w:t>
            </w:r>
          </w:p>
        </w:tc>
        <w:tc>
          <w:tcPr>
            <w:tcW w:w="1644" w:type="dxa"/>
            <w:vAlign w:val="center"/>
          </w:tcPr>
          <w:p>
            <w:pPr>
              <w:pStyle w:val="11"/>
              <w:spacing w:after="100" w:line="240" w:lineRule="auto"/>
              <w:ind w:firstLine="0"/>
              <w:jc w:val="center"/>
              <w:rPr>
                <w:rFonts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 w:bidi="ar-SA"/>
              </w:rPr>
              <w:t>采购员；</w:t>
            </w:r>
          </w:p>
          <w:p>
            <w:pPr>
              <w:pStyle w:val="11"/>
              <w:spacing w:after="100" w:line="240" w:lineRule="auto"/>
              <w:ind w:firstLine="0"/>
              <w:jc w:val="center"/>
              <w:rPr>
                <w:rFonts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 w:bidi="ar-SA"/>
              </w:rPr>
              <w:t>保管员；</w:t>
            </w:r>
          </w:p>
          <w:p>
            <w:pPr>
              <w:pStyle w:val="11"/>
              <w:spacing w:after="100" w:line="240" w:lineRule="auto"/>
              <w:ind w:firstLine="0"/>
              <w:jc w:val="center"/>
              <w:rPr>
                <w:rFonts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 w:bidi="ar-SA"/>
              </w:rPr>
              <w:t>商品养护员</w:t>
            </w:r>
            <w:r>
              <w:rPr>
                <w:rFonts w:hint="eastAsia" w:cs="Times New Roman"/>
                <w:color w:val="000000"/>
                <w:sz w:val="21"/>
                <w:szCs w:val="21"/>
                <w:lang w:val="en-US" w:eastAsia="en-US" w:bidi="ar-SA"/>
              </w:rPr>
              <w:t>；</w:t>
            </w:r>
          </w:p>
          <w:p>
            <w:pPr>
              <w:pStyle w:val="11"/>
              <w:spacing w:after="100" w:line="240" w:lineRule="auto"/>
              <w:ind w:firstLine="0"/>
              <w:jc w:val="center"/>
              <w:rPr>
                <w:rFonts w:hint="eastAsia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 w:bidi="ar-SA"/>
              </w:rPr>
              <w:t>商品储运员；</w:t>
            </w:r>
          </w:p>
          <w:p>
            <w:pPr>
              <w:pStyle w:val="11"/>
              <w:spacing w:after="100" w:line="240" w:lineRule="auto"/>
              <w:ind w:firstLine="0"/>
              <w:jc w:val="center"/>
              <w:rPr>
                <w:rFonts w:hint="default"/>
                <w:color w:val="000000"/>
                <w:szCs w:val="21"/>
                <w:lang w:val="en-US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 w:bidi="ar-SA"/>
              </w:rPr>
              <w:t>运输调度员；</w:t>
            </w:r>
          </w:p>
        </w:tc>
        <w:tc>
          <w:tcPr>
            <w:tcW w:w="208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仓储主管；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运输主管；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物流销售主管；</w:t>
            </w:r>
          </w:p>
          <w:p>
            <w:pPr>
              <w:spacing w:line="4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物流客户服务主管； 生产车间主管</w:t>
            </w:r>
          </w:p>
        </w:tc>
      </w:tr>
    </w:tbl>
    <w:p>
      <w:pPr>
        <w:spacing w:line="460" w:lineRule="exact"/>
        <w:rPr>
          <w:color w:val="000000"/>
          <w:sz w:val="28"/>
          <w:szCs w:val="28"/>
        </w:rPr>
      </w:pPr>
    </w:p>
    <w:p>
      <w:pPr>
        <w:spacing w:line="460" w:lineRule="exact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四、培养目标</w:t>
      </w:r>
    </w:p>
    <w:p>
      <w:pPr>
        <w:spacing w:line="460" w:lineRule="exact"/>
        <w:ind w:firstLine="420" w:firstLineChars="200"/>
        <w:rPr>
          <w:rFonts w:hint="eastAsia"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本专业培养理想信念坚定，德、智、体、美、劳全面发展，具有一定的科学文化水平, 良好的人文素养、职业道德和创新意识，精益求精的工匠精神，较强的就业能力和可持续发展的能力，掌握本专业知识和技术技能，面向道路运输、多式联运和运输代理、装卸搬运和仓储等行业的管理（工业）工程技术人员、装卸搬运和运输代理服务人员、仓储人员等职业群，能够从事仓储、运输与配送、采购、供应链管理等基层管理及物流服务等工作的高素质技术技能人才。</w:t>
      </w:r>
    </w:p>
    <w:p>
      <w:pPr>
        <w:spacing w:line="46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五、培养规格</w:t>
      </w:r>
    </w:p>
    <w:p>
      <w:pPr>
        <w:spacing w:line="460" w:lineRule="exact"/>
        <w:ind w:firstLine="420" w:firstLineChars="20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本专业毕业生应在素质、知识和能力等方面达到以下要求：</w:t>
      </w:r>
    </w:p>
    <w:p>
      <w:pPr>
        <w:spacing w:line="460" w:lineRule="exact"/>
        <w:ind w:firstLine="422" w:firstLineChars="200"/>
        <w:rPr>
          <w:rFonts w:ascii="宋体" w:hAnsi="宋体" w:eastAsia="宋体"/>
          <w:b/>
          <w:color w:val="000000"/>
          <w:szCs w:val="21"/>
        </w:rPr>
      </w:pPr>
      <w:r>
        <w:rPr>
          <w:rFonts w:hint="eastAsia" w:ascii="宋体" w:hAnsi="宋体" w:eastAsia="宋体"/>
          <w:b/>
          <w:color w:val="000000"/>
          <w:szCs w:val="21"/>
        </w:rPr>
        <w:t>（一）素质</w:t>
      </w:r>
    </w:p>
    <w:p>
      <w:pPr>
        <w:spacing w:line="460" w:lineRule="exact"/>
        <w:ind w:firstLine="420" w:firstLineChars="20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1.坚定拥护中国共产党领导和我国社会主义制度，在习近平新时代中国特色社会主义思想指引下，践行社会主义核心价值观，具有深厚的爱国情感和中华民族自豪感。</w:t>
      </w:r>
    </w:p>
    <w:p>
      <w:pPr>
        <w:spacing w:line="460" w:lineRule="exact"/>
        <w:ind w:firstLine="420" w:firstLineChars="20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2.崇尚宪法、遵法守纪、崇德向善、诚实守信、尊重生命、热爱劳动，履行道德准则和行为规范，具有社会责任感和社会参与意识。</w:t>
      </w:r>
    </w:p>
    <w:p>
      <w:pPr>
        <w:spacing w:line="460" w:lineRule="exact"/>
        <w:ind w:firstLine="420" w:firstLineChars="20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3.具有质量意识、环保意识、安全意识、信息素养、工匠精神、创新思维。</w:t>
      </w:r>
    </w:p>
    <w:p>
      <w:pPr>
        <w:spacing w:line="460" w:lineRule="exact"/>
        <w:ind w:firstLine="420" w:firstLineChars="20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4.用于奋斗、乐观向上，具有自我管理能力、职业生涯规划的意识，有较强的具体意识和团队合作精神。</w:t>
      </w:r>
    </w:p>
    <w:p>
      <w:pPr>
        <w:spacing w:line="460" w:lineRule="exact"/>
        <w:ind w:firstLine="420" w:firstLineChars="20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5.具有健康的体魄、心理和健全的人格，掌握基本运动知识和1-2项运动技能，养成良好的健身和卫生习惯，以及良好的行为习惯。</w:t>
      </w:r>
    </w:p>
    <w:p>
      <w:pPr>
        <w:spacing w:line="460" w:lineRule="exact"/>
        <w:ind w:firstLine="420" w:firstLineChars="20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6.具有一定的审美和人文素养，能够形成1-2项艺术特长或爱好。</w:t>
      </w:r>
    </w:p>
    <w:p>
      <w:pPr>
        <w:spacing w:line="460" w:lineRule="exact"/>
        <w:ind w:firstLine="422" w:firstLineChars="200"/>
        <w:rPr>
          <w:rFonts w:hint="eastAsia" w:ascii="宋体" w:hAnsi="宋体" w:eastAsia="宋体"/>
          <w:b/>
          <w:color w:val="000000"/>
          <w:szCs w:val="21"/>
        </w:rPr>
      </w:pPr>
      <w:r>
        <w:rPr>
          <w:rFonts w:hint="eastAsia" w:ascii="宋体" w:hAnsi="宋体" w:eastAsia="宋体"/>
          <w:b/>
          <w:color w:val="000000"/>
          <w:szCs w:val="21"/>
        </w:rPr>
        <w:t>（二）知识</w:t>
      </w:r>
    </w:p>
    <w:p>
      <w:pPr>
        <w:spacing w:line="460" w:lineRule="exact"/>
        <w:ind w:firstLine="420" w:firstLineChars="20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1.掌握必备的思想政治理论、科学文化基础知识和中华优秀传统文化知识。</w:t>
      </w:r>
    </w:p>
    <w:p>
      <w:pPr>
        <w:spacing w:line="460" w:lineRule="exact"/>
        <w:ind w:firstLine="420" w:firstLineChars="20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2.熟悉与本专业相关的法律法规以及环境保护、安全消防等知识。</w:t>
      </w:r>
    </w:p>
    <w:p>
      <w:pPr>
        <w:spacing w:line="460" w:lineRule="exact"/>
        <w:ind w:firstLine="420" w:firstLineChars="20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3.了解中国传统商业文化和世界经济发展趋势，熟悉市场经济规则。</w:t>
      </w:r>
    </w:p>
    <w:p>
      <w:pPr>
        <w:spacing w:line="460" w:lineRule="exact"/>
        <w:ind w:firstLine="420" w:firstLineChars="20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4.掌握物流市场分析、客户服务管理的基本知识和方法。</w:t>
      </w:r>
    </w:p>
    <w:p>
      <w:pPr>
        <w:spacing w:line="460" w:lineRule="exact"/>
        <w:ind w:firstLine="420" w:firstLineChars="20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5.掌握物流系统的构成要素，具备供应链管理的基本知识。</w:t>
      </w:r>
    </w:p>
    <w:p>
      <w:pPr>
        <w:spacing w:line="460" w:lineRule="exact"/>
        <w:ind w:firstLine="420" w:firstLineChars="20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6.</w:t>
      </w:r>
      <w:r>
        <w:rPr>
          <w:rFonts w:hint="eastAsia" w:ascii="宋体" w:hAnsi="宋体" w:eastAsia="宋体"/>
          <w:color w:val="000000"/>
          <w:szCs w:val="21"/>
          <w:lang w:val="zh-CN"/>
        </w:rPr>
        <w:t>掌握</w:t>
      </w:r>
      <w:r>
        <w:rPr>
          <w:rFonts w:hint="eastAsia" w:ascii="宋体" w:hAnsi="宋体" w:eastAsia="宋体"/>
          <w:color w:val="000000"/>
          <w:szCs w:val="21"/>
        </w:rPr>
        <w:t>物流货品分类与质量管理的基本知识与技术方法。</w:t>
      </w:r>
    </w:p>
    <w:p>
      <w:pPr>
        <w:spacing w:line="460" w:lineRule="exact"/>
        <w:ind w:firstLine="420" w:firstLineChars="20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7.掌握物流运作的基本知识与方法。</w:t>
      </w:r>
    </w:p>
    <w:p>
      <w:pPr>
        <w:spacing w:line="460" w:lineRule="exact"/>
        <w:ind w:firstLine="420" w:firstLineChars="20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8.</w:t>
      </w:r>
      <w:r>
        <w:rPr>
          <w:rFonts w:hint="eastAsia" w:ascii="宋体" w:hAnsi="宋体" w:eastAsia="宋体"/>
          <w:color w:val="000000"/>
          <w:szCs w:val="21"/>
          <w:lang w:val="zh-CN"/>
        </w:rPr>
        <w:t>掌</w:t>
      </w:r>
      <w:r>
        <w:rPr>
          <w:rFonts w:hint="eastAsia" w:ascii="宋体" w:hAnsi="宋体" w:eastAsia="宋体"/>
          <w:color w:val="000000"/>
          <w:szCs w:val="21"/>
        </w:rPr>
        <w:t>握物流作业及现场管理的基本流程和优化方法。</w:t>
      </w:r>
    </w:p>
    <w:p>
      <w:pPr>
        <w:spacing w:line="460" w:lineRule="exact"/>
        <w:ind w:firstLine="420" w:firstLineChars="20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9.掌握物流成本控制的基本知识和方法。</w:t>
      </w:r>
    </w:p>
    <w:p>
      <w:pPr>
        <w:spacing w:line="460" w:lineRule="exact"/>
        <w:ind w:firstLine="420" w:firstLineChars="20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10.掌握现代物流信息技术运用的基本知识和方法。</w:t>
      </w:r>
    </w:p>
    <w:p>
      <w:pPr>
        <w:spacing w:line="460" w:lineRule="exact"/>
        <w:ind w:firstLine="420" w:firstLineChars="20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11.熟悉大数据、智慧物流、物联网等现代物流发展的新知识、新技术。</w:t>
      </w:r>
    </w:p>
    <w:p>
      <w:pPr>
        <w:spacing w:line="460" w:lineRule="exact"/>
        <w:ind w:firstLine="422" w:firstLineChars="200"/>
        <w:rPr>
          <w:rFonts w:hint="eastAsia" w:ascii="宋体" w:hAnsi="宋体" w:eastAsia="宋体"/>
          <w:b/>
          <w:color w:val="000000"/>
          <w:szCs w:val="21"/>
        </w:rPr>
      </w:pPr>
      <w:bookmarkStart w:id="0" w:name="bookmark34"/>
      <w:bookmarkEnd w:id="0"/>
      <w:bookmarkStart w:id="1" w:name="bookmark43"/>
      <w:bookmarkEnd w:id="1"/>
      <w:r>
        <w:rPr>
          <w:rFonts w:hint="eastAsia" w:ascii="宋体" w:hAnsi="宋体" w:eastAsia="宋体"/>
          <w:b/>
          <w:color w:val="000000"/>
          <w:szCs w:val="21"/>
        </w:rPr>
        <w:t>（三）能力</w:t>
      </w:r>
    </w:p>
    <w:p>
      <w:pPr>
        <w:spacing w:line="460" w:lineRule="exact"/>
        <w:ind w:firstLine="420" w:firstLineChars="20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1.具有探究学习、终身学习、分析问题和解决问题的能力。</w:t>
      </w:r>
    </w:p>
    <w:p>
      <w:pPr>
        <w:spacing w:line="460" w:lineRule="exact"/>
        <w:ind w:firstLine="420" w:firstLineChars="20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2.具有良好的语言、文字表达能力和沟通能力。</w:t>
      </w:r>
    </w:p>
    <w:p>
      <w:pPr>
        <w:spacing w:line="460" w:lineRule="exact"/>
        <w:ind w:firstLine="420" w:firstLineChars="20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3.</w:t>
      </w:r>
      <w:r>
        <w:rPr>
          <w:rFonts w:hint="eastAsia" w:ascii="宋体" w:hAnsi="宋体" w:eastAsia="宋体"/>
          <w:color w:val="000000"/>
          <w:szCs w:val="21"/>
          <w:lang w:val="zh-CN"/>
        </w:rPr>
        <w:t>能</w:t>
      </w:r>
      <w:r>
        <w:rPr>
          <w:rFonts w:hint="eastAsia" w:ascii="宋体" w:hAnsi="宋体" w:eastAsia="宋体"/>
          <w:color w:val="000000"/>
          <w:szCs w:val="21"/>
        </w:rPr>
        <w:t>够运用英语处理简单的英文函件、单证。</w:t>
      </w:r>
    </w:p>
    <w:p>
      <w:pPr>
        <w:spacing w:line="460" w:lineRule="exact"/>
        <w:ind w:firstLine="420" w:firstLineChars="20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4.能够熟练运用Office等办公软件，进行文档编辑、数据处理、演示汇报。</w:t>
      </w:r>
    </w:p>
    <w:p>
      <w:pPr>
        <w:spacing w:line="460" w:lineRule="exact"/>
        <w:ind w:firstLine="420" w:firstLineChars="20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5.能够对物流市场进行分析，能够实施有效客户服务。</w:t>
      </w:r>
    </w:p>
    <w:p>
      <w:pPr>
        <w:spacing w:line="460" w:lineRule="exact"/>
        <w:ind w:firstLine="420" w:firstLineChars="20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6.能够进行良好的沟通和采购谈判。</w:t>
      </w:r>
    </w:p>
    <w:p>
      <w:pPr>
        <w:spacing w:line="460" w:lineRule="exact"/>
        <w:ind w:firstLine="420" w:firstLineChars="20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7.能够有效进行仓储作业管理、配送作业管理、运输作业管理。</w:t>
      </w:r>
    </w:p>
    <w:p>
      <w:pPr>
        <w:spacing w:line="460" w:lineRule="exact"/>
        <w:ind w:firstLine="420" w:firstLineChars="20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8.能够进行精准的物流成本核算与分析控制。</w:t>
      </w:r>
    </w:p>
    <w:p>
      <w:pPr>
        <w:spacing w:line="460" w:lineRule="exact"/>
        <w:ind w:firstLine="420" w:firstLineChars="20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9.能够运用大数据、智慧物流、物联网等先进技术提升物流运作效率，并运用物流信息技术解决物流问题。</w:t>
      </w:r>
    </w:p>
    <w:p>
      <w:pPr>
        <w:spacing w:line="460" w:lineRule="exact"/>
        <w:ind w:firstLine="420" w:firstLineChars="20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10.能够熟练运用ERP系统提高企业物流管理效率。</w:t>
      </w:r>
    </w:p>
    <w:p>
      <w:pPr>
        <w:spacing w:line="460" w:lineRule="exact"/>
        <w:ind w:firstLine="420" w:firstLineChars="200"/>
        <w:rPr>
          <w:rFonts w:hint="eastAsia"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11.能够运用供应链整合设计理念解决企业实际问题。</w:t>
      </w:r>
    </w:p>
    <w:p>
      <w:pPr>
        <w:spacing w:line="460" w:lineRule="exact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六、</w:t>
      </w:r>
      <w:r>
        <w:rPr>
          <w:rFonts w:hint="eastAsia"/>
          <w:color w:val="000000"/>
          <w:sz w:val="28"/>
          <w:szCs w:val="28"/>
          <w:highlight w:val="none"/>
        </w:rPr>
        <w:t>课程体系构建（</w:t>
      </w:r>
      <w:r>
        <w:rPr>
          <w:rFonts w:hint="eastAsia"/>
          <w:color w:val="000000"/>
          <w:sz w:val="28"/>
          <w:szCs w:val="28"/>
        </w:rPr>
        <w:t>主要包括专业核心课、专业实践课、专业基础课）</w:t>
      </w:r>
    </w:p>
    <w:p>
      <w:pPr>
        <w:spacing w:line="460" w:lineRule="exact"/>
        <w:rPr>
          <w:rFonts w:hint="eastAsia" w:eastAsia="等线"/>
          <w:color w:val="000000"/>
          <w:sz w:val="28"/>
          <w:szCs w:val="28"/>
          <w:lang w:eastAsia="zh-CN"/>
        </w:rPr>
      </w:pPr>
      <w:r>
        <w:rPr>
          <w:rFonts w:hint="eastAsia" w:eastAsia="等线"/>
          <w:color w:val="000000"/>
          <w:sz w:val="28"/>
          <w:szCs w:val="28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248920</wp:posOffset>
            </wp:positionV>
            <wp:extent cx="4293870" cy="5132070"/>
            <wp:effectExtent l="0" t="0" r="11430" b="11430"/>
            <wp:wrapTopAndBottom/>
            <wp:docPr id="2" name="图片 2" descr="现代物流管理课程体系构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现代物流管理课程体系构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93870" cy="5132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60" w:lineRule="exact"/>
        <w:rPr>
          <w:rFonts w:hint="eastAsia"/>
          <w:color w:val="000000"/>
          <w:sz w:val="28"/>
          <w:szCs w:val="28"/>
        </w:rPr>
      </w:pPr>
    </w:p>
    <w:p>
      <w:pPr>
        <w:spacing w:line="46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七、专业核心课程和主要教学内容</w:t>
      </w:r>
    </w:p>
    <w:tbl>
      <w:tblPr>
        <w:tblStyle w:val="6"/>
        <w:tblpPr w:leftFromText="180" w:rightFromText="180" w:vertAnchor="text" w:horzAnchor="page" w:tblpXSpec="center" w:tblpY="43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985"/>
        <w:gridCol w:w="6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专业核心课程名称</w:t>
            </w:r>
          </w:p>
        </w:tc>
        <w:tc>
          <w:tcPr>
            <w:tcW w:w="6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主要教学内容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仓储作业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管理</w:t>
            </w:r>
          </w:p>
        </w:tc>
        <w:tc>
          <w:tcPr>
            <w:tcW w:w="6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仓储的概念、入库作业组织、在库作业组织、出库作业组织、仓储管理信息技术、仓储成本管理、仓储绩效管理等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运输管理</w:t>
            </w:r>
          </w:p>
        </w:tc>
        <w:tc>
          <w:tcPr>
            <w:tcW w:w="6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运输系统的构成要素、各种运输方式的技术经济特征、按合理的运输组织流程，处理货运组织工作、货物配载技术与配送线路优化方法等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采购与供应链管理</w:t>
            </w:r>
          </w:p>
        </w:tc>
        <w:tc>
          <w:tcPr>
            <w:tcW w:w="6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供应链采购</w:t>
            </w:r>
            <w:r>
              <w:rPr>
                <w:rFonts w:ascii="宋体" w:hAnsi="宋体" w:eastAsia="宋体"/>
                <w:color w:val="000000"/>
                <w:sz w:val="21"/>
                <w:szCs w:val="21"/>
                <w:highlight w:val="none"/>
              </w:rPr>
              <w:t>管理、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供应链库存</w:t>
            </w:r>
            <w:r>
              <w:rPr>
                <w:rFonts w:ascii="宋体" w:hAnsi="宋体" w:eastAsia="宋体"/>
                <w:color w:val="000000"/>
                <w:sz w:val="21"/>
                <w:szCs w:val="21"/>
                <w:highlight w:val="none"/>
              </w:rPr>
              <w:t>管理、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供应链</w:t>
            </w:r>
            <w:r>
              <w:rPr>
                <w:rFonts w:ascii="宋体" w:hAnsi="宋体" w:eastAsia="宋体"/>
                <w:color w:val="000000"/>
                <w:sz w:val="21"/>
                <w:szCs w:val="21"/>
                <w:highlight w:val="none"/>
              </w:rPr>
              <w:t>生产管理、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供应链</w:t>
            </w:r>
            <w:r>
              <w:rPr>
                <w:rFonts w:ascii="宋体" w:hAnsi="宋体" w:eastAsia="宋体"/>
                <w:color w:val="000000"/>
                <w:sz w:val="21"/>
                <w:szCs w:val="21"/>
                <w:highlight w:val="none"/>
              </w:rPr>
              <w:t>关系管理、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供</w:t>
            </w:r>
            <w:r>
              <w:rPr>
                <w:rFonts w:ascii="宋体" w:hAnsi="宋体" w:eastAsia="宋体"/>
                <w:color w:val="000000"/>
                <w:sz w:val="21"/>
                <w:szCs w:val="21"/>
                <w:highlight w:val="none"/>
              </w:rPr>
              <w:t>应链信息管理、供应链战略管理、供应链管理组织结构、供应链物流网络规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划</w:t>
            </w:r>
            <w:r>
              <w:rPr>
                <w:rFonts w:ascii="宋体" w:hAnsi="宋体" w:eastAsia="宋体"/>
                <w:color w:val="000000"/>
                <w:sz w:val="21"/>
                <w:szCs w:val="21"/>
                <w:highlight w:val="none"/>
              </w:rPr>
              <w:t>、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供应链成本与绩效</w:t>
            </w:r>
            <w:r>
              <w:rPr>
                <w:rFonts w:ascii="宋体" w:hAnsi="宋体" w:eastAsia="宋体"/>
                <w:color w:val="000000"/>
                <w:sz w:val="21"/>
                <w:szCs w:val="21"/>
                <w:highlight w:val="none"/>
              </w:rPr>
              <w:t>管理等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highlight w:val="none"/>
              </w:rPr>
              <w:t>物流营销</w:t>
            </w:r>
          </w:p>
        </w:tc>
        <w:tc>
          <w:tcPr>
            <w:tcW w:w="606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/>
              <w:textAlignment w:val="auto"/>
              <w:rPr>
                <w:rFonts w:cs="Times New Roman"/>
                <w:color w:val="000000"/>
                <w:sz w:val="21"/>
                <w:szCs w:val="21"/>
                <w:highlight w:val="none"/>
                <w:lang w:bidi="ar-SA"/>
              </w:rPr>
            </w:pPr>
            <w:r>
              <w:rPr>
                <w:rFonts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物流营销基础概述、物流营销市场分析、物流目标客户选择、物流服务项目开发、物流目标客户开发、物流营销策略制定、物流客户服务管理、物流营 销效等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物流成本管理</w:t>
            </w:r>
          </w:p>
        </w:tc>
        <w:tc>
          <w:tcPr>
            <w:tcW w:w="6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宋体" w:hAnsi="宋体" w:eastAsia="宋体"/>
                <w:color w:val="000000"/>
                <w:sz w:val="21"/>
                <w:szCs w:val="21"/>
                <w:highlight w:val="none"/>
              </w:rPr>
              <w:t xml:space="preserve"> 物流成本的构成与分类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  <w:lang w:eastAsia="zh-CN"/>
              </w:rPr>
              <w:t>、物流成本的核算、基于作业成本法的物流成本核算、物流成本预算、物流成本预测与决策、物流成本分析、物流成本控制、物流成本管理绩效评价</w:t>
            </w:r>
            <w:r>
              <w:rPr>
                <w:rFonts w:ascii="宋体" w:hAnsi="宋体" w:eastAsia="宋体"/>
                <w:color w:val="000000"/>
                <w:sz w:val="21"/>
                <w:szCs w:val="21"/>
                <w:highlight w:val="none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国际货运代理</w:t>
            </w:r>
          </w:p>
        </w:tc>
        <w:tc>
          <w:tcPr>
            <w:tcW w:w="6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国际货运代理基础知识、国际海上货运代理、国际航空货运代理、国际多式联运</w:t>
            </w:r>
            <w:r>
              <w:rPr>
                <w:rFonts w:ascii="宋体" w:hAnsi="宋体" w:eastAsia="宋体"/>
                <w:color w:val="000000"/>
                <w:sz w:val="21"/>
                <w:szCs w:val="21"/>
                <w:highlight w:val="none"/>
              </w:rPr>
              <w:t>等</w:t>
            </w:r>
          </w:p>
        </w:tc>
      </w:tr>
    </w:tbl>
    <w:p>
      <w:pPr>
        <w:spacing w:line="460" w:lineRule="exact"/>
        <w:rPr>
          <w:color w:val="000000"/>
          <w:sz w:val="28"/>
          <w:szCs w:val="28"/>
          <w:highlight w:val="none"/>
        </w:rPr>
      </w:pPr>
    </w:p>
    <w:p>
      <w:pPr>
        <w:spacing w:line="46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八、毕业条件</w:t>
      </w:r>
    </w:p>
    <w:p>
      <w:pPr>
        <w:spacing w:line="460" w:lineRule="exact"/>
        <w:ind w:firstLine="420" w:firstLineChars="20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（一）在规定的修业年限内修完本方案中规定的全部课程且成绩合格，并在校内外学习、实习过程中无违纪、处分记录。</w:t>
      </w:r>
    </w:p>
    <w:p>
      <w:pPr>
        <w:spacing w:line="460" w:lineRule="exact"/>
        <w:ind w:firstLine="420" w:firstLineChars="20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（二）普通类、单列类（选考英语</w:t>
      </w:r>
      <w:r>
        <w:rPr>
          <w:rFonts w:hint="eastAsia" w:ascii="宋体" w:hAnsi="宋体" w:eastAsia="宋体"/>
          <w:color w:val="000000"/>
          <w:szCs w:val="21"/>
          <w:highlight w:val="none"/>
        </w:rPr>
        <w:t>）学生学分不少于1</w:t>
      </w:r>
      <w:r>
        <w:rPr>
          <w:rFonts w:hint="default" w:ascii="宋体" w:hAnsi="宋体" w:eastAsia="宋体"/>
          <w:color w:val="000000"/>
          <w:szCs w:val="21"/>
          <w:highlight w:val="none"/>
        </w:rPr>
        <w:t>5</w:t>
      </w:r>
      <w:r>
        <w:rPr>
          <w:rFonts w:hint="eastAsia" w:ascii="宋体" w:hAnsi="宋体" w:eastAsia="宋体"/>
          <w:color w:val="000000"/>
          <w:szCs w:val="21"/>
          <w:highlight w:val="none"/>
          <w:lang w:val="en-US" w:eastAsia="zh-CN"/>
        </w:rPr>
        <w:t>7</w:t>
      </w:r>
      <w:r>
        <w:rPr>
          <w:rFonts w:hint="eastAsia" w:ascii="宋体" w:hAnsi="宋体" w:eastAsia="宋体"/>
          <w:color w:val="000000"/>
          <w:szCs w:val="21"/>
          <w:highlight w:val="none"/>
        </w:rPr>
        <w:t>学分</w:t>
      </w:r>
      <w:r>
        <w:rPr>
          <w:rFonts w:hint="default" w:ascii="宋体" w:hAnsi="宋体" w:eastAsia="宋体"/>
          <w:color w:val="000000"/>
          <w:szCs w:val="21"/>
          <w:highlight w:val="none"/>
        </w:rPr>
        <w:t>；</w:t>
      </w:r>
      <w:r>
        <w:rPr>
          <w:rFonts w:hint="eastAsia" w:ascii="宋体" w:hAnsi="宋体" w:eastAsia="宋体"/>
          <w:color w:val="000000"/>
          <w:szCs w:val="21"/>
          <w:highlight w:val="none"/>
        </w:rPr>
        <w:t>单列类（选考民族语文）、民语类学生学分不少于</w:t>
      </w:r>
      <w:r>
        <w:rPr>
          <w:rFonts w:hint="default" w:ascii="宋体" w:hAnsi="宋体" w:eastAsia="宋体"/>
          <w:color w:val="000000"/>
          <w:szCs w:val="21"/>
          <w:highlight w:val="none"/>
        </w:rPr>
        <w:t>15</w:t>
      </w:r>
      <w:r>
        <w:rPr>
          <w:rFonts w:hint="eastAsia" w:ascii="宋体" w:hAnsi="宋体" w:eastAsia="宋体"/>
          <w:color w:val="000000"/>
          <w:szCs w:val="21"/>
          <w:highlight w:val="none"/>
          <w:lang w:val="en-US" w:eastAsia="zh-CN"/>
        </w:rPr>
        <w:t>7</w:t>
      </w:r>
      <w:r>
        <w:rPr>
          <w:rFonts w:hint="eastAsia" w:ascii="宋体" w:hAnsi="宋体" w:eastAsia="宋体"/>
          <w:color w:val="000000"/>
          <w:szCs w:val="21"/>
          <w:highlight w:val="none"/>
        </w:rPr>
        <w:t>学分；单列类（</w:t>
      </w:r>
      <w:r>
        <w:rPr>
          <w:rFonts w:hint="eastAsia" w:ascii="宋体" w:hAnsi="宋体" w:eastAsia="宋体"/>
          <w:color w:val="000000"/>
          <w:szCs w:val="21"/>
        </w:rPr>
        <w:t>选考民族语文）、民语类学生国家通用语言文字水平达</w:t>
      </w:r>
      <w:r>
        <w:rPr>
          <w:rFonts w:hint="eastAsia" w:ascii="宋体" w:hAnsi="宋体" w:eastAsia="宋体"/>
          <w:color w:val="000000"/>
          <w:szCs w:val="21"/>
          <w:lang w:val="en-US" w:eastAsia="zh-CN"/>
        </w:rPr>
        <w:t>到</w:t>
      </w:r>
      <w:r>
        <w:rPr>
          <w:rFonts w:hint="eastAsia" w:ascii="宋体" w:hAnsi="宋体" w:eastAsia="宋体"/>
          <w:color w:val="000000"/>
          <w:szCs w:val="21"/>
        </w:rPr>
        <w:t>三级乙等以上。</w:t>
      </w:r>
    </w:p>
    <w:p>
      <w:pPr>
        <w:spacing w:line="460" w:lineRule="exact"/>
        <w:ind w:firstLine="420" w:firstLineChars="20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（三）职业资格（岗位）证书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800"/>
        <w:gridCol w:w="1845"/>
        <w:gridCol w:w="2863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序号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职业资格证书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内涵要点</w:t>
            </w: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适应工作岗位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3" w:hRule="exact"/>
          <w:jc w:val="center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物流管理职业技能中级证书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配送、运输、采购、仓储、物流成本、物流营销</w:t>
            </w: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物品采购、仓储管理、配送管理、运输管理、生产物流管理、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国际货运代理、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物流信息采集与处理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中物联物流采购培训中心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建议取得</w:t>
            </w:r>
          </w:p>
        </w:tc>
      </w:tr>
    </w:tbl>
    <w:p>
      <w:pPr>
        <w:spacing w:line="460" w:lineRule="exact"/>
        <w:rPr>
          <w:rFonts w:hint="eastAsia"/>
          <w:color w:val="000000"/>
          <w:sz w:val="28"/>
          <w:szCs w:val="28"/>
          <w:lang w:eastAsia="zh-CN"/>
        </w:rPr>
      </w:pPr>
    </w:p>
    <w:p>
      <w:pPr>
        <w:spacing w:line="460" w:lineRule="exact"/>
        <w:rPr>
          <w:rFonts w:hint="eastAsia"/>
          <w:color w:val="000000"/>
          <w:sz w:val="28"/>
          <w:szCs w:val="28"/>
          <w:lang w:eastAsia="zh-CN"/>
        </w:rPr>
      </w:pPr>
    </w:p>
    <w:p>
      <w:pPr>
        <w:spacing w:line="460" w:lineRule="exact"/>
        <w:rPr>
          <w:rFonts w:hint="eastAsia"/>
          <w:color w:val="000000"/>
          <w:sz w:val="28"/>
          <w:szCs w:val="28"/>
          <w:lang w:eastAsia="zh-CN"/>
        </w:rPr>
      </w:pPr>
      <w:bookmarkStart w:id="2" w:name="_GoBack"/>
      <w:bookmarkEnd w:id="2"/>
      <w:r>
        <w:rPr>
          <w:rFonts w:hint="eastAsia"/>
          <w:color w:val="000000"/>
          <w:sz w:val="28"/>
          <w:szCs w:val="28"/>
          <w:lang w:eastAsia="zh-CN"/>
        </w:rPr>
        <w:t>九、修读导引图</w:t>
      </w:r>
    </w:p>
    <w:p>
      <w:pPr>
        <w:spacing w:line="460" w:lineRule="exact"/>
        <w:ind w:firstLine="560" w:firstLineChars="200"/>
        <w:rPr>
          <w:rFonts w:hint="eastAsia" w:ascii="仿宋" w:hAnsi="仿宋" w:eastAsia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公共</w:t>
      </w:r>
      <w:r>
        <w:rPr>
          <w:rFonts w:hint="eastAsia" w:ascii="仿宋" w:hAnsi="仿宋" w:eastAsia="仿宋"/>
          <w:sz w:val="28"/>
          <w:szCs w:val="28"/>
          <w:highlight w:val="none"/>
        </w:rPr>
        <w:t>课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课程</w:t>
      </w:r>
      <w:r>
        <w:rPr>
          <w:rFonts w:hint="eastAsia" w:ascii="仿宋" w:hAnsi="仿宋" w:eastAsia="仿宋"/>
          <w:sz w:val="28"/>
          <w:szCs w:val="28"/>
          <w:highlight w:val="none"/>
        </w:rPr>
        <w:t>地图如</w:t>
      </w:r>
      <w:r>
        <w:rPr>
          <w:rFonts w:ascii="仿宋" w:hAnsi="仿宋" w:eastAsia="仿宋"/>
          <w:sz w:val="28"/>
          <w:szCs w:val="28"/>
          <w:highlight w:val="none"/>
        </w:rPr>
        <w:t>下图所示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：</w:t>
      </w:r>
    </w:p>
    <w:p>
      <w:pPr>
        <w:spacing w:line="460" w:lineRule="exact"/>
        <w:rPr>
          <w:rFonts w:hint="eastAsia"/>
          <w:color w:val="000000"/>
          <w:sz w:val="28"/>
          <w:szCs w:val="28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325120</wp:posOffset>
            </wp:positionH>
            <wp:positionV relativeFrom="paragraph">
              <wp:posOffset>20955</wp:posOffset>
            </wp:positionV>
            <wp:extent cx="4778375" cy="2643505"/>
            <wp:effectExtent l="0" t="0" r="9525" b="10795"/>
            <wp:wrapNone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78375" cy="264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60" w:lineRule="exact"/>
        <w:rPr>
          <w:rFonts w:hint="eastAsia"/>
          <w:color w:val="000000"/>
          <w:sz w:val="28"/>
          <w:szCs w:val="28"/>
        </w:rPr>
      </w:pPr>
    </w:p>
    <w:p>
      <w:pPr>
        <w:spacing w:line="460" w:lineRule="exact"/>
        <w:rPr>
          <w:rFonts w:hint="eastAsia"/>
          <w:color w:val="000000"/>
          <w:sz w:val="28"/>
          <w:szCs w:val="28"/>
        </w:rPr>
      </w:pPr>
    </w:p>
    <w:p>
      <w:pPr>
        <w:spacing w:line="460" w:lineRule="exact"/>
        <w:rPr>
          <w:rFonts w:hint="eastAsia"/>
          <w:color w:val="000000"/>
          <w:sz w:val="28"/>
          <w:szCs w:val="28"/>
        </w:rPr>
      </w:pPr>
    </w:p>
    <w:p>
      <w:pPr>
        <w:spacing w:line="460" w:lineRule="exact"/>
        <w:rPr>
          <w:rFonts w:hint="eastAsia"/>
          <w:color w:val="000000"/>
          <w:sz w:val="28"/>
          <w:szCs w:val="28"/>
        </w:rPr>
      </w:pPr>
    </w:p>
    <w:p>
      <w:pPr>
        <w:spacing w:line="460" w:lineRule="exact"/>
        <w:rPr>
          <w:rFonts w:hint="eastAsia"/>
          <w:color w:val="000000"/>
          <w:sz w:val="28"/>
          <w:szCs w:val="28"/>
        </w:rPr>
      </w:pPr>
    </w:p>
    <w:p>
      <w:pPr>
        <w:spacing w:line="460" w:lineRule="exact"/>
        <w:rPr>
          <w:rFonts w:hint="eastAsia"/>
          <w:color w:val="000000"/>
          <w:sz w:val="28"/>
          <w:szCs w:val="28"/>
        </w:rPr>
      </w:pPr>
    </w:p>
    <w:p>
      <w:pPr>
        <w:spacing w:line="460" w:lineRule="exact"/>
        <w:rPr>
          <w:rFonts w:hint="eastAsia"/>
          <w:color w:val="000000"/>
          <w:sz w:val="28"/>
          <w:szCs w:val="28"/>
        </w:rPr>
      </w:pPr>
    </w:p>
    <w:p>
      <w:pPr>
        <w:spacing w:line="460" w:lineRule="exact"/>
        <w:rPr>
          <w:rFonts w:hint="eastAsia"/>
          <w:color w:val="000000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hint="eastAsia" w:eastAsia="仿宋"/>
          <w:b w:val="0"/>
          <w:bCs w:val="0"/>
          <w:color w:val="auto"/>
          <w:sz w:val="28"/>
          <w:szCs w:val="28"/>
          <w:highlight w:val="none"/>
          <w:lang w:eastAsia="zh-CN"/>
        </w:rPr>
      </w:pPr>
      <w:r>
        <w:rPr>
          <w:rFonts w:hint="eastAsia"/>
          <w:color w:val="000000"/>
          <w:sz w:val="28"/>
          <w:szCs w:val="28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395605</wp:posOffset>
            </wp:positionV>
            <wp:extent cx="4780280" cy="2308225"/>
            <wp:effectExtent l="0" t="0" r="7620" b="3175"/>
            <wp:wrapTopAndBottom/>
            <wp:docPr id="3" name="图片 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80280" cy="230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/>
          <w:b w:val="0"/>
          <w:bCs w:val="0"/>
          <w:color w:val="auto"/>
          <w:sz w:val="28"/>
          <w:szCs w:val="28"/>
          <w:highlight w:val="none"/>
        </w:rPr>
        <w:t>专业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  <w:highlight w:val="none"/>
        </w:rPr>
        <w:t>课程</w:t>
      </w:r>
      <w:r>
        <w:rPr>
          <w:rFonts w:ascii="仿宋" w:hAnsi="仿宋" w:eastAsia="仿宋"/>
          <w:b w:val="0"/>
          <w:bCs w:val="0"/>
          <w:color w:val="auto"/>
          <w:sz w:val="28"/>
          <w:szCs w:val="28"/>
          <w:highlight w:val="none"/>
        </w:rPr>
        <w:t>地图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  <w:highlight w:val="none"/>
          <w:lang w:eastAsia="zh-CN"/>
        </w:rPr>
        <w:t>可参考下图：</w:t>
      </w:r>
    </w:p>
    <w:p>
      <w:pPr>
        <w:spacing w:line="460" w:lineRule="exact"/>
        <w:rPr>
          <w:rFonts w:hint="eastAsia"/>
          <w:color w:val="000000"/>
          <w:sz w:val="28"/>
          <w:szCs w:val="28"/>
        </w:rPr>
      </w:pPr>
    </w:p>
    <w:p>
      <w:pPr>
        <w:spacing w:line="460" w:lineRule="exact"/>
        <w:rPr>
          <w:rFonts w:hint="eastAsia" w:eastAsia="等线"/>
          <w:color w:val="000000"/>
          <w:sz w:val="28"/>
          <w:szCs w:val="28"/>
          <w:lang w:eastAsia="zh-CN"/>
        </w:rPr>
      </w:pPr>
      <w:r>
        <w:rPr>
          <w:rFonts w:hint="eastAsia"/>
          <w:color w:val="000000"/>
          <w:sz w:val="28"/>
          <w:szCs w:val="28"/>
        </w:rPr>
        <w:t>十、附录</w:t>
      </w:r>
      <w:r>
        <w:rPr>
          <w:rFonts w:hint="eastAsia"/>
          <w:color w:val="000000"/>
          <w:sz w:val="28"/>
          <w:szCs w:val="28"/>
          <w:lang w:eastAsia="zh-CN"/>
        </w:rPr>
        <w:t>（</w:t>
      </w:r>
      <w:r>
        <w:rPr>
          <w:rFonts w:hint="eastAsia"/>
          <w:color w:val="000000"/>
          <w:sz w:val="28"/>
          <w:szCs w:val="28"/>
          <w:lang w:val="en-US" w:eastAsia="zh-CN"/>
        </w:rPr>
        <w:t>详见人才培养方案EXCEL附表</w:t>
      </w:r>
      <w:r>
        <w:rPr>
          <w:rFonts w:hint="eastAsia"/>
          <w:color w:val="000000"/>
          <w:sz w:val="28"/>
          <w:szCs w:val="28"/>
          <w:lang w:eastAsia="zh-CN"/>
        </w:rPr>
        <w:t>）</w:t>
      </w:r>
    </w:p>
    <w:p>
      <w:pPr>
        <w:spacing w:line="460" w:lineRule="exact"/>
        <w:ind w:firstLine="555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附表一</w:t>
      </w:r>
      <w:r>
        <w:rPr>
          <w:rFonts w:ascii="宋体" w:hAnsi="宋体" w:eastAsia="宋体"/>
          <w:color w:val="000000"/>
          <w:szCs w:val="21"/>
        </w:rPr>
        <w:t>：</w:t>
      </w:r>
      <w:r>
        <w:rPr>
          <w:rFonts w:hint="eastAsia" w:ascii="宋体" w:hAnsi="宋体" w:eastAsia="宋体"/>
          <w:color w:val="000000"/>
          <w:szCs w:val="21"/>
        </w:rPr>
        <w:t>教学</w:t>
      </w:r>
      <w:r>
        <w:rPr>
          <w:rFonts w:ascii="宋体" w:hAnsi="宋体" w:eastAsia="宋体"/>
          <w:color w:val="000000"/>
          <w:szCs w:val="21"/>
        </w:rPr>
        <w:t>进程表</w:t>
      </w:r>
    </w:p>
    <w:p>
      <w:pPr>
        <w:spacing w:line="460" w:lineRule="exact"/>
        <w:ind w:firstLine="555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附表二：</w:t>
      </w:r>
      <w:r>
        <w:rPr>
          <w:rFonts w:ascii="宋体" w:hAnsi="宋体" w:eastAsia="宋体"/>
          <w:color w:val="000000"/>
          <w:szCs w:val="21"/>
        </w:rPr>
        <w:t>教学时间分配表</w:t>
      </w:r>
    </w:p>
    <w:p>
      <w:pPr>
        <w:spacing w:line="460" w:lineRule="exact"/>
        <w:ind w:firstLine="555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附表</w:t>
      </w:r>
      <w:r>
        <w:rPr>
          <w:rFonts w:ascii="宋体" w:hAnsi="宋体" w:eastAsia="宋体"/>
          <w:color w:val="000000"/>
          <w:szCs w:val="21"/>
        </w:rPr>
        <w:t>三：</w:t>
      </w:r>
      <w:r>
        <w:rPr>
          <w:rFonts w:hint="eastAsia" w:ascii="宋体" w:hAnsi="宋体" w:eastAsia="宋体"/>
          <w:color w:val="000000"/>
          <w:szCs w:val="21"/>
        </w:rPr>
        <w:t>物流管理专业课程</w:t>
      </w:r>
      <w:r>
        <w:rPr>
          <w:rFonts w:ascii="宋体" w:hAnsi="宋体" w:eastAsia="宋体"/>
          <w:color w:val="000000"/>
          <w:szCs w:val="21"/>
        </w:rPr>
        <w:t>结构分析表</w:t>
      </w:r>
    </w:p>
    <w:p>
      <w:pPr>
        <w:spacing w:line="460" w:lineRule="exact"/>
        <w:ind w:firstLine="555"/>
        <w:rPr>
          <w:rFonts w:ascii="宋体" w:hAnsi="宋体" w:eastAsia="宋体"/>
          <w:color w:val="000000"/>
          <w:szCs w:val="21"/>
        </w:rPr>
      </w:pPr>
    </w:p>
    <w:p>
      <w:pPr>
        <w:spacing w:line="460" w:lineRule="exact"/>
        <w:ind w:firstLine="555"/>
        <w:rPr>
          <w:rFonts w:ascii="宋体" w:hAnsi="宋体" w:eastAsia="宋体"/>
          <w:color w:val="000000"/>
          <w:szCs w:val="21"/>
        </w:rPr>
      </w:pPr>
    </w:p>
    <w:p>
      <w:pPr>
        <w:spacing w:line="460" w:lineRule="exact"/>
        <w:jc w:val="center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 xml:space="preserve">                       </w:t>
      </w:r>
      <w:r>
        <w:rPr>
          <w:rFonts w:hint="eastAsia" w:ascii="楷体" w:hAnsi="楷体" w:eastAsia="楷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/>
          <w:color w:val="000000"/>
          <w:sz w:val="28"/>
          <w:szCs w:val="28"/>
        </w:rPr>
        <w:t xml:space="preserve"> 本方案制定者：</w:t>
      </w:r>
      <w:r>
        <w:rPr>
          <w:rFonts w:hint="eastAsia" w:ascii="楷体" w:hAnsi="楷体" w:eastAsia="楷体"/>
          <w:color w:val="000000"/>
          <w:sz w:val="28"/>
          <w:szCs w:val="28"/>
          <w:lang w:val="en-US" w:eastAsia="zh-CN"/>
        </w:rPr>
        <w:t>数字商贸</w:t>
      </w:r>
      <w:r>
        <w:rPr>
          <w:rFonts w:hint="eastAsia" w:ascii="楷体" w:hAnsi="楷体" w:eastAsia="楷体"/>
          <w:color w:val="000000"/>
          <w:sz w:val="28"/>
          <w:szCs w:val="28"/>
        </w:rPr>
        <w:t>教研室</w:t>
      </w:r>
    </w:p>
    <w:p>
      <w:pPr>
        <w:spacing w:line="460" w:lineRule="exact"/>
        <w:ind w:right="560"/>
        <w:jc w:val="right"/>
        <w:rPr>
          <w:rFonts w:hint="default" w:eastAsia="楷体"/>
          <w:lang w:val="en-US" w:eastAsia="zh-CN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执笔人：肖复兴、谭丽萍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5ZmYzYjllMDNhNWQ0NzY4MzE0Yjk0ZWZlYjVkM2EifQ=="/>
  </w:docVars>
  <w:rsids>
    <w:rsidRoot w:val="005C2037"/>
    <w:rsid w:val="0001645B"/>
    <w:rsid w:val="00020217"/>
    <w:rsid w:val="0003142A"/>
    <w:rsid w:val="000617E3"/>
    <w:rsid w:val="002918E3"/>
    <w:rsid w:val="002D72C0"/>
    <w:rsid w:val="00355AB9"/>
    <w:rsid w:val="00384A53"/>
    <w:rsid w:val="003F5036"/>
    <w:rsid w:val="004E2BF3"/>
    <w:rsid w:val="00502108"/>
    <w:rsid w:val="00520942"/>
    <w:rsid w:val="005B1B43"/>
    <w:rsid w:val="005C2037"/>
    <w:rsid w:val="00686CCE"/>
    <w:rsid w:val="0069102F"/>
    <w:rsid w:val="006943C1"/>
    <w:rsid w:val="007334FC"/>
    <w:rsid w:val="007755F2"/>
    <w:rsid w:val="008C11F1"/>
    <w:rsid w:val="008D1447"/>
    <w:rsid w:val="00A16178"/>
    <w:rsid w:val="00A92CBC"/>
    <w:rsid w:val="00AA03AF"/>
    <w:rsid w:val="00BB74A2"/>
    <w:rsid w:val="00BE5F09"/>
    <w:rsid w:val="00C70B5F"/>
    <w:rsid w:val="00C73F15"/>
    <w:rsid w:val="00D77480"/>
    <w:rsid w:val="00F14F06"/>
    <w:rsid w:val="00FB784C"/>
    <w:rsid w:val="00FF241C"/>
    <w:rsid w:val="010663E1"/>
    <w:rsid w:val="0286098A"/>
    <w:rsid w:val="03597303"/>
    <w:rsid w:val="03976E05"/>
    <w:rsid w:val="03E743F8"/>
    <w:rsid w:val="04B17334"/>
    <w:rsid w:val="07781938"/>
    <w:rsid w:val="0969235D"/>
    <w:rsid w:val="0B11375C"/>
    <w:rsid w:val="0B6D49D7"/>
    <w:rsid w:val="0CF22A69"/>
    <w:rsid w:val="0D2F4472"/>
    <w:rsid w:val="0D6E4C90"/>
    <w:rsid w:val="10874E4A"/>
    <w:rsid w:val="11CD00B7"/>
    <w:rsid w:val="126E6DD0"/>
    <w:rsid w:val="13D339FD"/>
    <w:rsid w:val="15F969EB"/>
    <w:rsid w:val="16A14DF1"/>
    <w:rsid w:val="16E73F47"/>
    <w:rsid w:val="18331F9A"/>
    <w:rsid w:val="188D2984"/>
    <w:rsid w:val="1A5A7DA8"/>
    <w:rsid w:val="1F8138D5"/>
    <w:rsid w:val="1FCE5EC8"/>
    <w:rsid w:val="1FE13206"/>
    <w:rsid w:val="20987265"/>
    <w:rsid w:val="210E37FC"/>
    <w:rsid w:val="211B1C44"/>
    <w:rsid w:val="211E74D7"/>
    <w:rsid w:val="22600256"/>
    <w:rsid w:val="22B245DD"/>
    <w:rsid w:val="22E96E01"/>
    <w:rsid w:val="233266CA"/>
    <w:rsid w:val="235F0B6B"/>
    <w:rsid w:val="23A0638E"/>
    <w:rsid w:val="241B4A05"/>
    <w:rsid w:val="25CB59E7"/>
    <w:rsid w:val="26547E29"/>
    <w:rsid w:val="27560D48"/>
    <w:rsid w:val="2800073A"/>
    <w:rsid w:val="296D1A12"/>
    <w:rsid w:val="2A9F5355"/>
    <w:rsid w:val="2C68484A"/>
    <w:rsid w:val="2CA13D6E"/>
    <w:rsid w:val="2D254570"/>
    <w:rsid w:val="2F8C2174"/>
    <w:rsid w:val="30DD2A72"/>
    <w:rsid w:val="30F26B0F"/>
    <w:rsid w:val="31701187"/>
    <w:rsid w:val="31BE289E"/>
    <w:rsid w:val="322267A5"/>
    <w:rsid w:val="33AF1D42"/>
    <w:rsid w:val="33E7733F"/>
    <w:rsid w:val="33EE23E6"/>
    <w:rsid w:val="36007560"/>
    <w:rsid w:val="362901B1"/>
    <w:rsid w:val="370827C3"/>
    <w:rsid w:val="37851C91"/>
    <w:rsid w:val="37A55B5B"/>
    <w:rsid w:val="38002DE9"/>
    <w:rsid w:val="384A6C3F"/>
    <w:rsid w:val="3A4C54EC"/>
    <w:rsid w:val="3A674D2B"/>
    <w:rsid w:val="3A872A00"/>
    <w:rsid w:val="3B7E6E14"/>
    <w:rsid w:val="3C4B0EE4"/>
    <w:rsid w:val="3CC42A47"/>
    <w:rsid w:val="3CCB361B"/>
    <w:rsid w:val="3D065504"/>
    <w:rsid w:val="3DCE74AA"/>
    <w:rsid w:val="3DDC3468"/>
    <w:rsid w:val="3F7C181D"/>
    <w:rsid w:val="41191840"/>
    <w:rsid w:val="423C19C3"/>
    <w:rsid w:val="42471FD8"/>
    <w:rsid w:val="43F642FA"/>
    <w:rsid w:val="44172D65"/>
    <w:rsid w:val="45D14184"/>
    <w:rsid w:val="45D51ADF"/>
    <w:rsid w:val="46970637"/>
    <w:rsid w:val="46B67179"/>
    <w:rsid w:val="48051C91"/>
    <w:rsid w:val="488F0B79"/>
    <w:rsid w:val="48E94F70"/>
    <w:rsid w:val="493D00FA"/>
    <w:rsid w:val="49AD5708"/>
    <w:rsid w:val="4B7F53AB"/>
    <w:rsid w:val="4BD103E0"/>
    <w:rsid w:val="4F77160D"/>
    <w:rsid w:val="4F9D337E"/>
    <w:rsid w:val="4FA63F1E"/>
    <w:rsid w:val="50336DF9"/>
    <w:rsid w:val="50CF3D2E"/>
    <w:rsid w:val="521F3481"/>
    <w:rsid w:val="54166DEE"/>
    <w:rsid w:val="54F27113"/>
    <w:rsid w:val="56D43E2A"/>
    <w:rsid w:val="56DC3E3E"/>
    <w:rsid w:val="575B5C3D"/>
    <w:rsid w:val="577FEAE7"/>
    <w:rsid w:val="581F0BE8"/>
    <w:rsid w:val="596F15A6"/>
    <w:rsid w:val="59CE2D97"/>
    <w:rsid w:val="5B813891"/>
    <w:rsid w:val="5CAA00CC"/>
    <w:rsid w:val="5D2062E5"/>
    <w:rsid w:val="5DDD7E9A"/>
    <w:rsid w:val="5E656D59"/>
    <w:rsid w:val="5E8441A2"/>
    <w:rsid w:val="5E9C79CA"/>
    <w:rsid w:val="5EE5379E"/>
    <w:rsid w:val="5EF85BE1"/>
    <w:rsid w:val="60534996"/>
    <w:rsid w:val="617B1F50"/>
    <w:rsid w:val="618073C4"/>
    <w:rsid w:val="62E50D17"/>
    <w:rsid w:val="635130AC"/>
    <w:rsid w:val="64C60F9D"/>
    <w:rsid w:val="64F01986"/>
    <w:rsid w:val="650426AE"/>
    <w:rsid w:val="65D5791C"/>
    <w:rsid w:val="678A4441"/>
    <w:rsid w:val="679145B1"/>
    <w:rsid w:val="68D610FD"/>
    <w:rsid w:val="69345F8C"/>
    <w:rsid w:val="69D430D1"/>
    <w:rsid w:val="69E479EF"/>
    <w:rsid w:val="6B420F2E"/>
    <w:rsid w:val="6BA730D3"/>
    <w:rsid w:val="6E3A4FB7"/>
    <w:rsid w:val="6EEF424C"/>
    <w:rsid w:val="710B6693"/>
    <w:rsid w:val="715336AE"/>
    <w:rsid w:val="719E1CC3"/>
    <w:rsid w:val="726E4E03"/>
    <w:rsid w:val="73A706F4"/>
    <w:rsid w:val="75CE143E"/>
    <w:rsid w:val="76195BE1"/>
    <w:rsid w:val="763F482F"/>
    <w:rsid w:val="77DF0298"/>
    <w:rsid w:val="77EBA7C8"/>
    <w:rsid w:val="7A47075A"/>
    <w:rsid w:val="7B4E28FC"/>
    <w:rsid w:val="7B78670D"/>
    <w:rsid w:val="7C7D4DB0"/>
    <w:rsid w:val="7CD23150"/>
    <w:rsid w:val="7CDE36FF"/>
    <w:rsid w:val="7E2256E0"/>
    <w:rsid w:val="7FD3B5FA"/>
    <w:rsid w:val="F7CD0D57"/>
    <w:rsid w:val="FDBB2B6B"/>
    <w:rsid w:val="FFE4A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Other|1"/>
    <w:basedOn w:val="1"/>
    <w:qFormat/>
    <w:uiPriority w:val="0"/>
    <w:pPr>
      <w:spacing w:line="360" w:lineRule="auto"/>
      <w:ind w:firstLine="400"/>
    </w:pPr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12">
    <w:name w:val="Body text|1"/>
    <w:basedOn w:val="1"/>
    <w:qFormat/>
    <w:uiPriority w:val="0"/>
    <w:pPr>
      <w:spacing w:line="360" w:lineRule="auto"/>
      <w:ind w:firstLine="400"/>
    </w:pPr>
    <w:rPr>
      <w:rFonts w:ascii="宋体" w:hAnsi="宋体" w:eastAsia="宋体" w:cs="宋体"/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2225</Words>
  <Characters>2283</Characters>
  <Lines>36</Lines>
  <Paragraphs>10</Paragraphs>
  <TotalTime>59</TotalTime>
  <ScaleCrop>false</ScaleCrop>
  <LinksUpToDate>false</LinksUpToDate>
  <CharactersWithSpaces>2316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2017-05-25T15:39:00Z</dcterms:created>
  <dc:creator>Administrator</dc:creator>
  <cp:lastModifiedBy>→吟空§</cp:lastModifiedBy>
  <dcterms:modified xsi:type="dcterms:W3CDTF">2023-05-11T09:38:01Z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EDF59BAC25C745F8895CD7C9A8A4A11A</vt:lpwstr>
  </property>
</Properties>
</file>